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4F" w:rsidRPr="007048E8" w:rsidRDefault="005B054F">
      <w:pPr>
        <w:rPr>
          <w:b/>
          <w:sz w:val="32"/>
          <w:szCs w:val="32"/>
        </w:rPr>
      </w:pPr>
      <w:r w:rsidRPr="007048E8">
        <w:rPr>
          <w:b/>
          <w:noProof/>
          <w:sz w:val="32"/>
          <w:szCs w:val="32"/>
          <w:lang w:eastAsia="en-GB"/>
        </w:rPr>
        <w:drawing>
          <wp:anchor distT="0" distB="0" distL="114300" distR="114300" simplePos="0" relativeHeight="251659264" behindDoc="1" locked="0" layoutInCell="1" allowOverlap="1" wp14:anchorId="43464190" wp14:editId="794DFF76">
            <wp:simplePos x="0" y="0"/>
            <wp:positionH relativeFrom="column">
              <wp:posOffset>4455795</wp:posOffset>
            </wp:positionH>
            <wp:positionV relativeFrom="paragraph">
              <wp:posOffset>-577215</wp:posOffset>
            </wp:positionV>
            <wp:extent cx="1770380" cy="902970"/>
            <wp:effectExtent l="0" t="0" r="1270" b="0"/>
            <wp:wrapTight wrapText="bothSides">
              <wp:wrapPolygon edited="0">
                <wp:start x="0" y="0"/>
                <wp:lineTo x="0" y="20962"/>
                <wp:lineTo x="21383" y="20962"/>
                <wp:lineTo x="21383"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03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8E8">
        <w:rPr>
          <w:b/>
          <w:sz w:val="32"/>
          <w:szCs w:val="32"/>
        </w:rPr>
        <w:t xml:space="preserve">St </w:t>
      </w:r>
      <w:proofErr w:type="spellStart"/>
      <w:r w:rsidRPr="007048E8">
        <w:rPr>
          <w:b/>
          <w:sz w:val="32"/>
          <w:szCs w:val="32"/>
        </w:rPr>
        <w:t>Piran’s</w:t>
      </w:r>
      <w:proofErr w:type="spellEnd"/>
      <w:r w:rsidRPr="007048E8">
        <w:rPr>
          <w:b/>
          <w:sz w:val="32"/>
          <w:szCs w:val="32"/>
        </w:rPr>
        <w:t xml:space="preserve"> Cross C of E Multi-Academy Trust</w:t>
      </w:r>
    </w:p>
    <w:p w:rsidR="001E1627" w:rsidRPr="00540F09" w:rsidRDefault="005B054F">
      <w:pPr>
        <w:rPr>
          <w:b/>
          <w:sz w:val="28"/>
          <w:szCs w:val="28"/>
        </w:rPr>
      </w:pPr>
      <w:r w:rsidRPr="007048E8">
        <w:rPr>
          <w:b/>
          <w:sz w:val="32"/>
          <w:szCs w:val="32"/>
        </w:rPr>
        <w:t xml:space="preserve">Pupil Premium Report </w:t>
      </w:r>
      <w:r w:rsidR="00814DEE">
        <w:rPr>
          <w:b/>
          <w:sz w:val="32"/>
          <w:szCs w:val="32"/>
        </w:rPr>
        <w:t xml:space="preserve">– </w:t>
      </w:r>
      <w:r w:rsidR="00A9254E">
        <w:rPr>
          <w:b/>
          <w:sz w:val="32"/>
          <w:szCs w:val="32"/>
        </w:rPr>
        <w:t>Veryan</w:t>
      </w:r>
    </w:p>
    <w:p w:rsidR="005B054F" w:rsidRDefault="005B054F">
      <w:pPr>
        <w:rPr>
          <w:b/>
          <w:sz w:val="32"/>
          <w:szCs w:val="32"/>
        </w:rPr>
      </w:pPr>
      <w:r w:rsidRPr="00540F09">
        <w:rPr>
          <w:b/>
          <w:sz w:val="28"/>
          <w:szCs w:val="28"/>
        </w:rPr>
        <w:t>R</w:t>
      </w:r>
      <w:r w:rsidRPr="007048E8">
        <w:rPr>
          <w:b/>
          <w:sz w:val="32"/>
          <w:szCs w:val="32"/>
        </w:rPr>
        <w:t xml:space="preserve">eport </w:t>
      </w:r>
      <w:r w:rsidR="00540F09">
        <w:rPr>
          <w:b/>
          <w:sz w:val="32"/>
          <w:szCs w:val="32"/>
        </w:rPr>
        <w:t xml:space="preserve">Period </w:t>
      </w:r>
      <w:r w:rsidR="00E24F97">
        <w:rPr>
          <w:b/>
          <w:sz w:val="32"/>
          <w:szCs w:val="32"/>
        </w:rPr>
        <w:t>1</w:t>
      </w:r>
      <w:r w:rsidR="00E24F97" w:rsidRPr="00E24F97">
        <w:rPr>
          <w:b/>
          <w:sz w:val="32"/>
          <w:szCs w:val="32"/>
          <w:vertAlign w:val="superscript"/>
        </w:rPr>
        <w:t>st</w:t>
      </w:r>
      <w:r w:rsidR="00072721">
        <w:rPr>
          <w:b/>
          <w:sz w:val="32"/>
          <w:szCs w:val="32"/>
        </w:rPr>
        <w:t xml:space="preserve"> September 2014</w:t>
      </w:r>
      <w:r w:rsidR="00E24F97">
        <w:rPr>
          <w:b/>
          <w:sz w:val="32"/>
          <w:szCs w:val="32"/>
        </w:rPr>
        <w:t>- 31</w:t>
      </w:r>
      <w:r w:rsidR="00E24F97" w:rsidRPr="00E24F97">
        <w:rPr>
          <w:b/>
          <w:sz w:val="32"/>
          <w:szCs w:val="32"/>
          <w:vertAlign w:val="superscript"/>
        </w:rPr>
        <w:t>st</w:t>
      </w:r>
      <w:r w:rsidR="00072721">
        <w:rPr>
          <w:b/>
          <w:sz w:val="32"/>
          <w:szCs w:val="32"/>
        </w:rPr>
        <w:t xml:space="preserve"> August 2015</w:t>
      </w:r>
    </w:p>
    <w:p w:rsidR="00540F09" w:rsidRPr="00A80E7B" w:rsidRDefault="007B6404" w:rsidP="00540F09">
      <w:pPr>
        <w:rPr>
          <w:b/>
          <w:sz w:val="28"/>
          <w:szCs w:val="28"/>
        </w:rPr>
      </w:pPr>
      <w:r w:rsidRPr="007B6404">
        <w:rPr>
          <w:b/>
          <w:sz w:val="28"/>
          <w:szCs w:val="28"/>
        </w:rPr>
        <w:t xml:space="preserve">This funding was received after conversion to a Multi-Academy Trust </w:t>
      </w:r>
      <w:proofErr w:type="gramStart"/>
      <w:r w:rsidR="00072721">
        <w:rPr>
          <w:b/>
          <w:sz w:val="28"/>
          <w:szCs w:val="28"/>
        </w:rPr>
        <w:t>during  the</w:t>
      </w:r>
      <w:proofErr w:type="gramEnd"/>
      <w:r w:rsidR="00072721">
        <w:rPr>
          <w:b/>
          <w:sz w:val="28"/>
          <w:szCs w:val="28"/>
        </w:rPr>
        <w:t xml:space="preserve"> grant period 2014</w:t>
      </w:r>
      <w:r w:rsidR="00574868">
        <w:rPr>
          <w:b/>
          <w:sz w:val="28"/>
          <w:szCs w:val="28"/>
        </w:rPr>
        <w:t>/201</w:t>
      </w:r>
      <w:r w:rsidR="00072721">
        <w:rPr>
          <w:b/>
          <w:sz w:val="28"/>
          <w:szCs w:val="28"/>
        </w:rPr>
        <w:t>5</w:t>
      </w:r>
      <w:r w:rsidR="00574868">
        <w:rPr>
          <w:b/>
          <w:sz w:val="28"/>
          <w:szCs w:val="28"/>
        </w:rPr>
        <w:t xml:space="preserve"> and 201</w:t>
      </w:r>
      <w:r w:rsidR="00072721">
        <w:rPr>
          <w:b/>
          <w:sz w:val="28"/>
          <w:szCs w:val="28"/>
        </w:rPr>
        <w:t>5/2016.</w:t>
      </w:r>
    </w:p>
    <w:p w:rsidR="00540F09" w:rsidRPr="00A80E7B" w:rsidRDefault="00540F09" w:rsidP="00540F09">
      <w:pPr>
        <w:pStyle w:val="Default"/>
        <w:spacing w:after="240"/>
        <w:rPr>
          <w:rFonts w:asciiTheme="minorHAnsi" w:hAnsiTheme="minorHAnsi"/>
        </w:rPr>
      </w:pPr>
      <w:r w:rsidRPr="00A80E7B">
        <w:rPr>
          <w:rFonts w:asciiTheme="minorHAnsi" w:hAnsiTheme="minorHAnsi"/>
        </w:rPr>
        <w:t xml:space="preserve">PPG provides funding for two policies: </w:t>
      </w:r>
    </w:p>
    <w:p w:rsidR="00540F09" w:rsidRPr="00A80E7B" w:rsidRDefault="00540F09" w:rsidP="00540F09">
      <w:pPr>
        <w:pStyle w:val="Default"/>
        <w:ind w:left="1440" w:hanging="360"/>
        <w:rPr>
          <w:rFonts w:asciiTheme="minorHAnsi" w:hAnsiTheme="minorHAnsi"/>
        </w:rPr>
      </w:pPr>
      <w:r w:rsidRPr="00A80E7B">
        <w:rPr>
          <w:rFonts w:asciiTheme="minorHAnsi" w:hAnsiTheme="minorHAnsi"/>
        </w:rPr>
        <w:t xml:space="preserve">• Raising the attainment of disadvantaged pupils and closing the gap with their peers; and </w:t>
      </w:r>
    </w:p>
    <w:p w:rsidR="00540F09" w:rsidRDefault="00540F09" w:rsidP="00540F09">
      <w:pPr>
        <w:pStyle w:val="Default"/>
        <w:ind w:left="1440" w:hanging="360"/>
        <w:rPr>
          <w:rFonts w:asciiTheme="minorHAnsi" w:hAnsiTheme="minorHAnsi"/>
        </w:rPr>
      </w:pPr>
      <w:r w:rsidRPr="00A80E7B">
        <w:rPr>
          <w:rFonts w:asciiTheme="minorHAnsi" w:hAnsiTheme="minorHAnsi"/>
        </w:rPr>
        <w:t xml:space="preserve">• Supporting children and young people with parents in the regular armed forces </w:t>
      </w:r>
    </w:p>
    <w:p w:rsidR="00540F09" w:rsidRDefault="00540F09" w:rsidP="00540F09">
      <w:pPr>
        <w:pStyle w:val="Default"/>
        <w:ind w:left="1440" w:hanging="360"/>
        <w:rPr>
          <w:rFonts w:asciiTheme="minorHAnsi" w:hAnsiTheme="minorHAnsi"/>
        </w:rPr>
      </w:pPr>
    </w:p>
    <w:p w:rsidR="007511DC" w:rsidRDefault="007B6404" w:rsidP="00B43532">
      <w:pPr>
        <w:pStyle w:val="Default"/>
        <w:rPr>
          <w:rFonts w:asciiTheme="minorHAnsi" w:hAnsiTheme="minorHAnsi"/>
        </w:rPr>
      </w:pPr>
      <w:r>
        <w:rPr>
          <w:rFonts w:asciiTheme="minorHAnsi" w:hAnsiTheme="minorHAnsi"/>
        </w:rPr>
        <w:t>The period of</w:t>
      </w:r>
      <w:r w:rsidR="00105FF9">
        <w:rPr>
          <w:rFonts w:asciiTheme="minorHAnsi" w:hAnsiTheme="minorHAnsi"/>
        </w:rPr>
        <w:t xml:space="preserve"> </w:t>
      </w:r>
      <w:r>
        <w:rPr>
          <w:rFonts w:asciiTheme="minorHAnsi" w:hAnsiTheme="minorHAnsi"/>
        </w:rPr>
        <w:t>reporting spa</w:t>
      </w:r>
      <w:r w:rsidR="00105FF9">
        <w:rPr>
          <w:rFonts w:asciiTheme="minorHAnsi" w:hAnsiTheme="minorHAnsi"/>
        </w:rPr>
        <w:t>n</w:t>
      </w:r>
      <w:r>
        <w:rPr>
          <w:rFonts w:asciiTheme="minorHAnsi" w:hAnsiTheme="minorHAnsi"/>
        </w:rPr>
        <w:t xml:space="preserve">s over two different grant allocations.  Please see information below. </w:t>
      </w:r>
    </w:p>
    <w:p w:rsidR="00B43532" w:rsidRPr="00B43532" w:rsidRDefault="00B43532" w:rsidP="00B43532">
      <w:pPr>
        <w:pStyle w:val="Default"/>
        <w:rPr>
          <w:rFonts w:asciiTheme="minorHAnsi" w:hAnsiTheme="minorHAnsi"/>
        </w:rPr>
      </w:pPr>
    </w:p>
    <w:tbl>
      <w:tblPr>
        <w:tblStyle w:val="TableGrid"/>
        <w:tblW w:w="10206" w:type="dxa"/>
        <w:tblInd w:w="-459" w:type="dxa"/>
        <w:tblLook w:val="04A0" w:firstRow="1" w:lastRow="0" w:firstColumn="1" w:lastColumn="0" w:noHBand="0" w:noVBand="1"/>
      </w:tblPr>
      <w:tblGrid>
        <w:gridCol w:w="3686"/>
        <w:gridCol w:w="1595"/>
        <w:gridCol w:w="1761"/>
        <w:gridCol w:w="3164"/>
      </w:tblGrid>
      <w:tr w:rsidR="005B054F" w:rsidTr="007048E8">
        <w:tc>
          <w:tcPr>
            <w:tcW w:w="10206" w:type="dxa"/>
            <w:gridSpan w:val="4"/>
            <w:shd w:val="clear" w:color="auto" w:fill="D9D9D9" w:themeFill="background1" w:themeFillShade="D9"/>
          </w:tcPr>
          <w:p w:rsidR="00E24F97" w:rsidRDefault="005B054F" w:rsidP="00E24F97">
            <w:pPr>
              <w:jc w:val="center"/>
              <w:rPr>
                <w:sz w:val="32"/>
                <w:szCs w:val="32"/>
              </w:rPr>
            </w:pPr>
            <w:r>
              <w:rPr>
                <w:sz w:val="32"/>
                <w:szCs w:val="32"/>
              </w:rPr>
              <w:t xml:space="preserve">Pupil Premium Grant (PPG) Received </w:t>
            </w:r>
          </w:p>
          <w:p w:rsidR="005B054F" w:rsidRDefault="00E24F97" w:rsidP="00072721">
            <w:pPr>
              <w:jc w:val="center"/>
              <w:rPr>
                <w:sz w:val="32"/>
                <w:szCs w:val="32"/>
              </w:rPr>
            </w:pPr>
            <w:r>
              <w:rPr>
                <w:sz w:val="32"/>
                <w:szCs w:val="32"/>
              </w:rPr>
              <w:t>1</w:t>
            </w:r>
            <w:r w:rsidRPr="00E24F97">
              <w:rPr>
                <w:sz w:val="32"/>
                <w:szCs w:val="32"/>
                <w:vertAlign w:val="superscript"/>
              </w:rPr>
              <w:t>st</w:t>
            </w:r>
            <w:r w:rsidR="00072721">
              <w:rPr>
                <w:sz w:val="32"/>
                <w:szCs w:val="32"/>
              </w:rPr>
              <w:t xml:space="preserve"> September 2014</w:t>
            </w:r>
            <w:r>
              <w:rPr>
                <w:sz w:val="32"/>
                <w:szCs w:val="32"/>
              </w:rPr>
              <w:t>- 31</w:t>
            </w:r>
            <w:r w:rsidRPr="00E24F97">
              <w:rPr>
                <w:sz w:val="32"/>
                <w:szCs w:val="32"/>
                <w:vertAlign w:val="superscript"/>
              </w:rPr>
              <w:t>st</w:t>
            </w:r>
            <w:r>
              <w:rPr>
                <w:sz w:val="32"/>
                <w:szCs w:val="32"/>
              </w:rPr>
              <w:t xml:space="preserve"> August </w:t>
            </w:r>
            <w:r w:rsidR="009A3159">
              <w:rPr>
                <w:sz w:val="32"/>
                <w:szCs w:val="32"/>
              </w:rPr>
              <w:t>20</w:t>
            </w:r>
            <w:r w:rsidR="00072721">
              <w:rPr>
                <w:sz w:val="32"/>
                <w:szCs w:val="32"/>
              </w:rPr>
              <w:t>15</w:t>
            </w:r>
          </w:p>
        </w:tc>
      </w:tr>
      <w:tr w:rsidR="009D621D" w:rsidTr="00B02A5F">
        <w:trPr>
          <w:gridAfter w:val="1"/>
          <w:wAfter w:w="3164" w:type="dxa"/>
        </w:trPr>
        <w:tc>
          <w:tcPr>
            <w:tcW w:w="5281" w:type="dxa"/>
            <w:gridSpan w:val="2"/>
          </w:tcPr>
          <w:p w:rsidR="009D621D" w:rsidRDefault="009D621D" w:rsidP="009D621D">
            <w:pPr>
              <w:rPr>
                <w:sz w:val="32"/>
                <w:szCs w:val="32"/>
              </w:rPr>
            </w:pPr>
            <w:r>
              <w:rPr>
                <w:sz w:val="32"/>
                <w:szCs w:val="32"/>
              </w:rPr>
              <w:t>Funding carried forward from previous period</w:t>
            </w:r>
          </w:p>
        </w:tc>
        <w:tc>
          <w:tcPr>
            <w:tcW w:w="1761" w:type="dxa"/>
          </w:tcPr>
          <w:p w:rsidR="009D621D" w:rsidRDefault="009D621D" w:rsidP="006805A5">
            <w:pPr>
              <w:rPr>
                <w:sz w:val="32"/>
                <w:szCs w:val="32"/>
              </w:rPr>
            </w:pPr>
            <w:r>
              <w:rPr>
                <w:sz w:val="32"/>
                <w:szCs w:val="32"/>
              </w:rPr>
              <w:t>£</w:t>
            </w:r>
            <w:r w:rsidR="00072721">
              <w:rPr>
                <w:sz w:val="32"/>
                <w:szCs w:val="32"/>
              </w:rPr>
              <w:t>0</w:t>
            </w:r>
          </w:p>
        </w:tc>
      </w:tr>
      <w:tr w:rsidR="005B054F" w:rsidTr="00B02A5F">
        <w:tc>
          <w:tcPr>
            <w:tcW w:w="5281" w:type="dxa"/>
            <w:gridSpan w:val="2"/>
          </w:tcPr>
          <w:p w:rsidR="005B054F" w:rsidRDefault="005B054F" w:rsidP="00105FF9">
            <w:pPr>
              <w:rPr>
                <w:sz w:val="32"/>
                <w:szCs w:val="32"/>
              </w:rPr>
            </w:pPr>
            <w:r>
              <w:rPr>
                <w:sz w:val="32"/>
                <w:szCs w:val="32"/>
              </w:rPr>
              <w:t xml:space="preserve">Total </w:t>
            </w:r>
            <w:r w:rsidR="000E7316">
              <w:rPr>
                <w:sz w:val="32"/>
                <w:szCs w:val="32"/>
              </w:rPr>
              <w:t>amount of funding received in th</w:t>
            </w:r>
            <w:r w:rsidR="00105FF9">
              <w:rPr>
                <w:sz w:val="32"/>
                <w:szCs w:val="32"/>
              </w:rPr>
              <w:t>is</w:t>
            </w:r>
            <w:r w:rsidR="000E7316">
              <w:rPr>
                <w:sz w:val="32"/>
                <w:szCs w:val="32"/>
              </w:rPr>
              <w:t xml:space="preserve"> period </w:t>
            </w:r>
          </w:p>
        </w:tc>
        <w:tc>
          <w:tcPr>
            <w:tcW w:w="4925" w:type="dxa"/>
            <w:gridSpan w:val="2"/>
          </w:tcPr>
          <w:p w:rsidR="005B054F" w:rsidRDefault="00C317F8" w:rsidP="00397465">
            <w:pPr>
              <w:rPr>
                <w:sz w:val="32"/>
                <w:szCs w:val="32"/>
              </w:rPr>
            </w:pPr>
            <w:r>
              <w:rPr>
                <w:sz w:val="32"/>
                <w:szCs w:val="32"/>
              </w:rPr>
              <w:t>£17</w:t>
            </w:r>
            <w:r w:rsidR="00397465">
              <w:rPr>
                <w:sz w:val="32"/>
                <w:szCs w:val="32"/>
              </w:rPr>
              <w:t>326</w:t>
            </w:r>
          </w:p>
        </w:tc>
      </w:tr>
      <w:tr w:rsidR="006F53D3" w:rsidTr="00B02A5F">
        <w:tc>
          <w:tcPr>
            <w:tcW w:w="5281" w:type="dxa"/>
            <w:gridSpan w:val="2"/>
          </w:tcPr>
          <w:p w:rsidR="006F53D3" w:rsidRPr="000E7316" w:rsidRDefault="006F53D3" w:rsidP="009A3159">
            <w:pPr>
              <w:rPr>
                <w:b/>
                <w:sz w:val="32"/>
                <w:szCs w:val="32"/>
              </w:rPr>
            </w:pPr>
            <w:r>
              <w:rPr>
                <w:b/>
                <w:sz w:val="32"/>
                <w:szCs w:val="32"/>
              </w:rPr>
              <w:t xml:space="preserve">Total amount of funding received </w:t>
            </w:r>
          </w:p>
        </w:tc>
        <w:tc>
          <w:tcPr>
            <w:tcW w:w="4925" w:type="dxa"/>
            <w:gridSpan w:val="2"/>
          </w:tcPr>
          <w:p w:rsidR="006F53D3" w:rsidRPr="000E7316" w:rsidRDefault="00C317F8" w:rsidP="00397465">
            <w:pPr>
              <w:rPr>
                <w:sz w:val="32"/>
                <w:szCs w:val="32"/>
              </w:rPr>
            </w:pPr>
            <w:r>
              <w:rPr>
                <w:sz w:val="32"/>
                <w:szCs w:val="32"/>
              </w:rPr>
              <w:t>£17</w:t>
            </w:r>
            <w:r w:rsidR="00397465">
              <w:rPr>
                <w:sz w:val="32"/>
                <w:szCs w:val="32"/>
              </w:rPr>
              <w:t>326</w:t>
            </w:r>
          </w:p>
        </w:tc>
      </w:tr>
      <w:tr w:rsidR="00CF3E50" w:rsidTr="00B02A5F">
        <w:tc>
          <w:tcPr>
            <w:tcW w:w="3686" w:type="dxa"/>
            <w:shd w:val="clear" w:color="auto" w:fill="D9D9D9" w:themeFill="background1" w:themeFillShade="D9"/>
          </w:tcPr>
          <w:p w:rsidR="00CF3E50" w:rsidRDefault="00CF3E50" w:rsidP="00397465">
            <w:pPr>
              <w:jc w:val="center"/>
              <w:rPr>
                <w:sz w:val="32"/>
                <w:szCs w:val="32"/>
              </w:rPr>
            </w:pPr>
            <w:r>
              <w:rPr>
                <w:sz w:val="32"/>
                <w:szCs w:val="32"/>
              </w:rPr>
              <w:t>Nature of Support 1</w:t>
            </w:r>
            <w:r w:rsidRPr="00E24F97">
              <w:rPr>
                <w:sz w:val="32"/>
                <w:szCs w:val="32"/>
                <w:vertAlign w:val="superscript"/>
              </w:rPr>
              <w:t>st</w:t>
            </w:r>
            <w:r>
              <w:rPr>
                <w:sz w:val="32"/>
                <w:szCs w:val="32"/>
              </w:rPr>
              <w:t xml:space="preserve"> December </w:t>
            </w:r>
            <w:r w:rsidR="009A3159">
              <w:rPr>
                <w:sz w:val="32"/>
                <w:szCs w:val="32"/>
              </w:rPr>
              <w:t>20</w:t>
            </w:r>
            <w:r>
              <w:rPr>
                <w:sz w:val="32"/>
                <w:szCs w:val="32"/>
              </w:rPr>
              <w:t>1</w:t>
            </w:r>
            <w:r w:rsidR="00397465">
              <w:rPr>
                <w:sz w:val="32"/>
                <w:szCs w:val="32"/>
              </w:rPr>
              <w:t>4</w:t>
            </w:r>
            <w:r>
              <w:rPr>
                <w:sz w:val="32"/>
                <w:szCs w:val="32"/>
              </w:rPr>
              <w:t>- 31</w:t>
            </w:r>
            <w:r w:rsidRPr="00E24F97">
              <w:rPr>
                <w:sz w:val="32"/>
                <w:szCs w:val="32"/>
                <w:vertAlign w:val="superscript"/>
              </w:rPr>
              <w:t>st</w:t>
            </w:r>
            <w:r>
              <w:rPr>
                <w:sz w:val="32"/>
                <w:szCs w:val="32"/>
              </w:rPr>
              <w:t xml:space="preserve"> August </w:t>
            </w:r>
            <w:r w:rsidR="009A3159">
              <w:rPr>
                <w:sz w:val="32"/>
                <w:szCs w:val="32"/>
              </w:rPr>
              <w:t>20</w:t>
            </w:r>
            <w:r w:rsidR="00397465">
              <w:rPr>
                <w:sz w:val="32"/>
                <w:szCs w:val="32"/>
              </w:rPr>
              <w:t>15</w:t>
            </w:r>
            <w:r>
              <w:rPr>
                <w:sz w:val="32"/>
                <w:szCs w:val="32"/>
              </w:rPr>
              <w:t xml:space="preserve"> and allocation of PPG</w:t>
            </w:r>
          </w:p>
        </w:tc>
        <w:tc>
          <w:tcPr>
            <w:tcW w:w="1595" w:type="dxa"/>
            <w:shd w:val="clear" w:color="auto" w:fill="D9D9D9" w:themeFill="background1" w:themeFillShade="D9"/>
          </w:tcPr>
          <w:p w:rsidR="00CF3E50" w:rsidRDefault="00CF3E50" w:rsidP="00E24F97">
            <w:pPr>
              <w:jc w:val="center"/>
              <w:rPr>
                <w:sz w:val="32"/>
                <w:szCs w:val="32"/>
              </w:rPr>
            </w:pPr>
            <w:r>
              <w:rPr>
                <w:sz w:val="32"/>
                <w:szCs w:val="32"/>
              </w:rPr>
              <w:t>Amount</w:t>
            </w:r>
          </w:p>
        </w:tc>
        <w:tc>
          <w:tcPr>
            <w:tcW w:w="4925" w:type="dxa"/>
            <w:gridSpan w:val="2"/>
            <w:shd w:val="clear" w:color="auto" w:fill="D9D9D9" w:themeFill="background1" w:themeFillShade="D9"/>
          </w:tcPr>
          <w:p w:rsidR="00CF3E50" w:rsidRDefault="001D7E40">
            <w:pPr>
              <w:rPr>
                <w:sz w:val="32"/>
                <w:szCs w:val="32"/>
              </w:rPr>
            </w:pPr>
            <w:r>
              <w:rPr>
                <w:sz w:val="32"/>
                <w:szCs w:val="32"/>
              </w:rPr>
              <w:t>Impact Statement</w:t>
            </w:r>
          </w:p>
        </w:tc>
      </w:tr>
      <w:tr w:rsidR="00566441" w:rsidTr="00B02A5F">
        <w:tc>
          <w:tcPr>
            <w:tcW w:w="3686" w:type="dxa"/>
          </w:tcPr>
          <w:p w:rsidR="00566441" w:rsidRDefault="00C317F8" w:rsidP="007511DC">
            <w:pPr>
              <w:rPr>
                <w:sz w:val="32"/>
                <w:szCs w:val="32"/>
              </w:rPr>
            </w:pPr>
            <w:r>
              <w:rPr>
                <w:sz w:val="32"/>
                <w:szCs w:val="32"/>
              </w:rPr>
              <w:t xml:space="preserve">Jane Palmer </w:t>
            </w:r>
          </w:p>
        </w:tc>
        <w:tc>
          <w:tcPr>
            <w:tcW w:w="1595" w:type="dxa"/>
          </w:tcPr>
          <w:p w:rsidR="00566441" w:rsidRDefault="00C317F8" w:rsidP="00397465">
            <w:pPr>
              <w:rPr>
                <w:sz w:val="32"/>
                <w:szCs w:val="32"/>
              </w:rPr>
            </w:pPr>
            <w:r>
              <w:rPr>
                <w:sz w:val="32"/>
                <w:szCs w:val="32"/>
              </w:rPr>
              <w:t>£</w:t>
            </w:r>
            <w:r w:rsidR="00397465" w:rsidRPr="00397465">
              <w:rPr>
                <w:sz w:val="32"/>
                <w:szCs w:val="32"/>
              </w:rPr>
              <w:t>2113.23</w:t>
            </w:r>
          </w:p>
        </w:tc>
        <w:tc>
          <w:tcPr>
            <w:tcW w:w="4925" w:type="dxa"/>
            <w:gridSpan w:val="2"/>
          </w:tcPr>
          <w:p w:rsidR="00B02A5F" w:rsidRDefault="00B02A5F" w:rsidP="00B02A5F">
            <w:pPr>
              <w:rPr>
                <w:sz w:val="24"/>
                <w:szCs w:val="24"/>
              </w:rPr>
            </w:pPr>
            <w:r>
              <w:rPr>
                <w:sz w:val="24"/>
                <w:szCs w:val="24"/>
              </w:rPr>
              <w:t>Appointing a Pupil Premium coordinator enabled us to have a representative at briefing meetings and keep abreast of the latest developments regarding Pupil premium funding. This, in turn, enhanced our provision by giving us fresh ideas of interventions which might support the learning of our Pupil Premium children.</w:t>
            </w:r>
          </w:p>
          <w:p w:rsidR="007B6404" w:rsidRDefault="00B02A5F" w:rsidP="00B02A5F">
            <w:pPr>
              <w:rPr>
                <w:sz w:val="32"/>
                <w:szCs w:val="32"/>
              </w:rPr>
            </w:pPr>
            <w:r>
              <w:rPr>
                <w:sz w:val="24"/>
                <w:szCs w:val="24"/>
              </w:rPr>
              <w:t>The coordinators role also enabled the close tracking of our Pupil Premium children’s attainment and progress so that under performance could be addressed and the impact of interventions be monitored. The coordinator also met with the Pupil Premium children and their parents so that in depth discussions could take place to work out what would support each child on an individual basis.</w:t>
            </w:r>
          </w:p>
        </w:tc>
      </w:tr>
      <w:tr w:rsidR="00B43532" w:rsidTr="00B02A5F">
        <w:tc>
          <w:tcPr>
            <w:tcW w:w="3686" w:type="dxa"/>
          </w:tcPr>
          <w:p w:rsidR="00B43532" w:rsidRDefault="00B43532" w:rsidP="00C317F8">
            <w:pPr>
              <w:rPr>
                <w:sz w:val="32"/>
                <w:szCs w:val="32"/>
              </w:rPr>
            </w:pPr>
            <w:r w:rsidRPr="007511DC">
              <w:rPr>
                <w:sz w:val="32"/>
                <w:szCs w:val="32"/>
              </w:rPr>
              <w:t xml:space="preserve">TAs interventions </w:t>
            </w:r>
            <w:r>
              <w:rPr>
                <w:sz w:val="32"/>
                <w:szCs w:val="32"/>
              </w:rPr>
              <w:t xml:space="preserve">including Breakfast Club </w:t>
            </w:r>
          </w:p>
        </w:tc>
        <w:tc>
          <w:tcPr>
            <w:tcW w:w="1595" w:type="dxa"/>
          </w:tcPr>
          <w:p w:rsidR="00B43532" w:rsidRDefault="00B43532" w:rsidP="00397465">
            <w:pPr>
              <w:rPr>
                <w:sz w:val="32"/>
                <w:szCs w:val="32"/>
              </w:rPr>
            </w:pPr>
            <w:r>
              <w:rPr>
                <w:sz w:val="32"/>
                <w:szCs w:val="32"/>
              </w:rPr>
              <w:t>£14195.47</w:t>
            </w:r>
          </w:p>
        </w:tc>
        <w:tc>
          <w:tcPr>
            <w:tcW w:w="4925" w:type="dxa"/>
            <w:gridSpan w:val="2"/>
          </w:tcPr>
          <w:p w:rsidR="00D775EA" w:rsidRPr="00DA026F" w:rsidRDefault="00D775EA" w:rsidP="00D775EA">
            <w:pPr>
              <w:rPr>
                <w:b/>
              </w:rPr>
            </w:pPr>
            <w:r w:rsidRPr="00DA026F">
              <w:rPr>
                <w:b/>
              </w:rPr>
              <w:t>TA Intervention:</w:t>
            </w:r>
          </w:p>
          <w:p w:rsidR="00EE2AD2" w:rsidRDefault="00EE2AD2" w:rsidP="00B43532">
            <w:pPr>
              <w:rPr>
                <w:sz w:val="24"/>
                <w:szCs w:val="24"/>
              </w:rPr>
            </w:pPr>
            <w:r>
              <w:rPr>
                <w:sz w:val="24"/>
                <w:szCs w:val="24"/>
              </w:rPr>
              <w:t xml:space="preserve">Average points progress for the 2014/15 academic year for Pupil Premium children compared to </w:t>
            </w:r>
            <w:proofErr w:type="spellStart"/>
            <w:r>
              <w:rPr>
                <w:sz w:val="24"/>
                <w:szCs w:val="24"/>
              </w:rPr>
              <w:t>non Pupil</w:t>
            </w:r>
            <w:proofErr w:type="spellEnd"/>
            <w:r>
              <w:rPr>
                <w:sz w:val="24"/>
                <w:szCs w:val="24"/>
              </w:rPr>
              <w:t xml:space="preserve"> premium children was as follows (where 3 points progress is expected)</w:t>
            </w:r>
          </w:p>
          <w:p w:rsidR="00EE2AD2" w:rsidRDefault="00EE2AD2" w:rsidP="00B43532">
            <w:pPr>
              <w:rPr>
                <w:sz w:val="24"/>
                <w:szCs w:val="24"/>
              </w:rPr>
            </w:pPr>
          </w:p>
          <w:tbl>
            <w:tblPr>
              <w:tblStyle w:val="TableGrid"/>
              <w:tblW w:w="0" w:type="auto"/>
              <w:tblLook w:val="04A0" w:firstRow="1" w:lastRow="0" w:firstColumn="1" w:lastColumn="0" w:noHBand="0" w:noVBand="1"/>
            </w:tblPr>
            <w:tblGrid>
              <w:gridCol w:w="1069"/>
              <w:gridCol w:w="578"/>
              <w:gridCol w:w="632"/>
              <w:gridCol w:w="578"/>
              <w:gridCol w:w="632"/>
              <w:gridCol w:w="578"/>
              <w:gridCol w:w="632"/>
            </w:tblGrid>
            <w:tr w:rsidR="00EE2AD2" w:rsidTr="00EE2AD2">
              <w:tc>
                <w:tcPr>
                  <w:tcW w:w="1174" w:type="dxa"/>
                </w:tcPr>
                <w:p w:rsidR="00EE2AD2" w:rsidRPr="00EE2AD2" w:rsidRDefault="00EE2AD2" w:rsidP="00EE2AD2">
                  <w:pPr>
                    <w:jc w:val="center"/>
                    <w:rPr>
                      <w:b/>
                      <w:sz w:val="24"/>
                      <w:szCs w:val="24"/>
                    </w:rPr>
                  </w:pPr>
                </w:p>
              </w:tc>
              <w:tc>
                <w:tcPr>
                  <w:tcW w:w="1175" w:type="dxa"/>
                  <w:gridSpan w:val="2"/>
                </w:tcPr>
                <w:p w:rsidR="00EE2AD2" w:rsidRPr="00EE2AD2" w:rsidRDefault="00EE2AD2" w:rsidP="00EE2AD2">
                  <w:pPr>
                    <w:jc w:val="center"/>
                    <w:rPr>
                      <w:b/>
                      <w:sz w:val="24"/>
                      <w:szCs w:val="24"/>
                    </w:rPr>
                  </w:pPr>
                  <w:r w:rsidRPr="00EE2AD2">
                    <w:rPr>
                      <w:b/>
                      <w:sz w:val="24"/>
                      <w:szCs w:val="24"/>
                    </w:rPr>
                    <w:t>Reading</w:t>
                  </w:r>
                </w:p>
              </w:tc>
              <w:tc>
                <w:tcPr>
                  <w:tcW w:w="1175" w:type="dxa"/>
                  <w:gridSpan w:val="2"/>
                </w:tcPr>
                <w:p w:rsidR="00EE2AD2" w:rsidRPr="00EE2AD2" w:rsidRDefault="00EE2AD2" w:rsidP="00EE2AD2">
                  <w:pPr>
                    <w:jc w:val="center"/>
                    <w:rPr>
                      <w:b/>
                      <w:sz w:val="24"/>
                      <w:szCs w:val="24"/>
                    </w:rPr>
                  </w:pPr>
                  <w:r w:rsidRPr="00EE2AD2">
                    <w:rPr>
                      <w:b/>
                      <w:sz w:val="24"/>
                      <w:szCs w:val="24"/>
                    </w:rPr>
                    <w:t>Writing</w:t>
                  </w:r>
                </w:p>
              </w:tc>
              <w:tc>
                <w:tcPr>
                  <w:tcW w:w="1175" w:type="dxa"/>
                  <w:gridSpan w:val="2"/>
                </w:tcPr>
                <w:p w:rsidR="00EE2AD2" w:rsidRPr="00EE2AD2" w:rsidRDefault="00EE2AD2" w:rsidP="00EE2AD2">
                  <w:pPr>
                    <w:jc w:val="center"/>
                    <w:rPr>
                      <w:b/>
                      <w:sz w:val="24"/>
                      <w:szCs w:val="24"/>
                    </w:rPr>
                  </w:pPr>
                  <w:r w:rsidRPr="00EE2AD2">
                    <w:rPr>
                      <w:b/>
                      <w:sz w:val="24"/>
                      <w:szCs w:val="24"/>
                    </w:rPr>
                    <w:t>Maths</w:t>
                  </w:r>
                </w:p>
              </w:tc>
            </w:tr>
            <w:tr w:rsidR="00EE2AD2" w:rsidTr="00C67D17">
              <w:tc>
                <w:tcPr>
                  <w:tcW w:w="1174" w:type="dxa"/>
                </w:tcPr>
                <w:p w:rsidR="00EE2AD2" w:rsidRPr="00EE2AD2" w:rsidRDefault="00EE2AD2" w:rsidP="00EE2AD2">
                  <w:pPr>
                    <w:jc w:val="center"/>
                    <w:rPr>
                      <w:b/>
                      <w:sz w:val="24"/>
                      <w:szCs w:val="24"/>
                    </w:rPr>
                  </w:pPr>
                </w:p>
              </w:tc>
              <w:tc>
                <w:tcPr>
                  <w:tcW w:w="587" w:type="dxa"/>
                </w:tcPr>
                <w:p w:rsidR="00EE2AD2" w:rsidRPr="00EE2AD2" w:rsidRDefault="00EE2AD2" w:rsidP="00EE2AD2">
                  <w:pPr>
                    <w:jc w:val="center"/>
                    <w:rPr>
                      <w:b/>
                      <w:sz w:val="24"/>
                      <w:szCs w:val="24"/>
                    </w:rPr>
                  </w:pPr>
                  <w:r>
                    <w:rPr>
                      <w:b/>
                      <w:sz w:val="24"/>
                      <w:szCs w:val="24"/>
                    </w:rPr>
                    <w:t>PP</w:t>
                  </w:r>
                </w:p>
              </w:tc>
              <w:tc>
                <w:tcPr>
                  <w:tcW w:w="588" w:type="dxa"/>
                </w:tcPr>
                <w:p w:rsidR="00EE2AD2" w:rsidRPr="00EE2AD2" w:rsidRDefault="00EE2AD2" w:rsidP="00EE2AD2">
                  <w:pPr>
                    <w:jc w:val="center"/>
                    <w:rPr>
                      <w:b/>
                      <w:sz w:val="24"/>
                      <w:szCs w:val="24"/>
                    </w:rPr>
                  </w:pPr>
                  <w:r>
                    <w:rPr>
                      <w:b/>
                      <w:sz w:val="24"/>
                      <w:szCs w:val="24"/>
                    </w:rPr>
                    <w:t>Non PP</w:t>
                  </w:r>
                </w:p>
              </w:tc>
              <w:tc>
                <w:tcPr>
                  <w:tcW w:w="587" w:type="dxa"/>
                </w:tcPr>
                <w:p w:rsidR="00EE2AD2" w:rsidRPr="00EE2AD2" w:rsidRDefault="00EE2AD2" w:rsidP="00EE2AD2">
                  <w:pPr>
                    <w:jc w:val="center"/>
                    <w:rPr>
                      <w:b/>
                      <w:sz w:val="24"/>
                      <w:szCs w:val="24"/>
                    </w:rPr>
                  </w:pPr>
                  <w:r>
                    <w:rPr>
                      <w:b/>
                      <w:sz w:val="24"/>
                      <w:szCs w:val="24"/>
                    </w:rPr>
                    <w:t>PP</w:t>
                  </w:r>
                </w:p>
              </w:tc>
              <w:tc>
                <w:tcPr>
                  <w:tcW w:w="588" w:type="dxa"/>
                </w:tcPr>
                <w:p w:rsidR="00EE2AD2" w:rsidRPr="00EE2AD2" w:rsidRDefault="00EE2AD2" w:rsidP="00EE2AD2">
                  <w:pPr>
                    <w:jc w:val="center"/>
                    <w:rPr>
                      <w:b/>
                      <w:sz w:val="24"/>
                      <w:szCs w:val="24"/>
                    </w:rPr>
                  </w:pPr>
                  <w:r>
                    <w:rPr>
                      <w:b/>
                      <w:sz w:val="24"/>
                      <w:szCs w:val="24"/>
                    </w:rPr>
                    <w:t>Non PP</w:t>
                  </w:r>
                </w:p>
              </w:tc>
              <w:tc>
                <w:tcPr>
                  <w:tcW w:w="587" w:type="dxa"/>
                </w:tcPr>
                <w:p w:rsidR="00EE2AD2" w:rsidRPr="00EE2AD2" w:rsidRDefault="00EE2AD2" w:rsidP="00EE2AD2">
                  <w:pPr>
                    <w:jc w:val="center"/>
                    <w:rPr>
                      <w:b/>
                      <w:sz w:val="24"/>
                      <w:szCs w:val="24"/>
                    </w:rPr>
                  </w:pPr>
                  <w:r>
                    <w:rPr>
                      <w:b/>
                      <w:sz w:val="24"/>
                      <w:szCs w:val="24"/>
                    </w:rPr>
                    <w:t>PP</w:t>
                  </w:r>
                </w:p>
              </w:tc>
              <w:tc>
                <w:tcPr>
                  <w:tcW w:w="588" w:type="dxa"/>
                </w:tcPr>
                <w:p w:rsidR="00EE2AD2" w:rsidRPr="00EE2AD2" w:rsidRDefault="00EE2AD2" w:rsidP="00EE2AD2">
                  <w:pPr>
                    <w:jc w:val="center"/>
                    <w:rPr>
                      <w:b/>
                      <w:sz w:val="24"/>
                      <w:szCs w:val="24"/>
                    </w:rPr>
                  </w:pPr>
                  <w:r>
                    <w:rPr>
                      <w:b/>
                      <w:sz w:val="24"/>
                      <w:szCs w:val="24"/>
                    </w:rPr>
                    <w:t>Non PP</w:t>
                  </w:r>
                </w:p>
              </w:tc>
            </w:tr>
            <w:tr w:rsidR="00EE2AD2" w:rsidTr="00A57DFD">
              <w:tc>
                <w:tcPr>
                  <w:tcW w:w="1174" w:type="dxa"/>
                </w:tcPr>
                <w:p w:rsidR="00EE2AD2" w:rsidRPr="00EE2AD2" w:rsidRDefault="00EE2AD2" w:rsidP="00EE2AD2">
                  <w:pPr>
                    <w:jc w:val="center"/>
                    <w:rPr>
                      <w:b/>
                      <w:sz w:val="24"/>
                      <w:szCs w:val="24"/>
                    </w:rPr>
                  </w:pPr>
                  <w:r w:rsidRPr="00EE2AD2">
                    <w:rPr>
                      <w:b/>
                      <w:sz w:val="24"/>
                      <w:szCs w:val="24"/>
                    </w:rPr>
                    <w:t>3</w:t>
                  </w:r>
                </w:p>
              </w:tc>
              <w:tc>
                <w:tcPr>
                  <w:tcW w:w="587" w:type="dxa"/>
                </w:tcPr>
                <w:p w:rsidR="00EE2AD2" w:rsidRDefault="00EE2AD2" w:rsidP="00EE2AD2">
                  <w:pPr>
                    <w:jc w:val="center"/>
                    <w:rPr>
                      <w:sz w:val="24"/>
                      <w:szCs w:val="24"/>
                    </w:rPr>
                  </w:pPr>
                  <w:r>
                    <w:rPr>
                      <w:sz w:val="24"/>
                      <w:szCs w:val="24"/>
                    </w:rPr>
                    <w:t>4</w:t>
                  </w:r>
                </w:p>
              </w:tc>
              <w:tc>
                <w:tcPr>
                  <w:tcW w:w="588" w:type="dxa"/>
                </w:tcPr>
                <w:p w:rsidR="00EE2AD2" w:rsidRDefault="00EE2AD2" w:rsidP="00EE2AD2">
                  <w:pPr>
                    <w:jc w:val="center"/>
                    <w:rPr>
                      <w:sz w:val="24"/>
                      <w:szCs w:val="24"/>
                    </w:rPr>
                  </w:pPr>
                  <w:r>
                    <w:rPr>
                      <w:sz w:val="24"/>
                      <w:szCs w:val="24"/>
                    </w:rPr>
                    <w:t>4.3</w:t>
                  </w:r>
                </w:p>
              </w:tc>
              <w:tc>
                <w:tcPr>
                  <w:tcW w:w="587" w:type="dxa"/>
                </w:tcPr>
                <w:p w:rsidR="00EE2AD2" w:rsidRDefault="00EE2AD2" w:rsidP="00EE2AD2">
                  <w:pPr>
                    <w:jc w:val="center"/>
                    <w:rPr>
                      <w:sz w:val="24"/>
                      <w:szCs w:val="24"/>
                    </w:rPr>
                  </w:pPr>
                  <w:r>
                    <w:rPr>
                      <w:sz w:val="24"/>
                      <w:szCs w:val="24"/>
                    </w:rPr>
                    <w:t>4</w:t>
                  </w:r>
                </w:p>
              </w:tc>
              <w:tc>
                <w:tcPr>
                  <w:tcW w:w="588" w:type="dxa"/>
                </w:tcPr>
                <w:p w:rsidR="00EE2AD2" w:rsidRDefault="00EE2AD2" w:rsidP="00EE2AD2">
                  <w:pPr>
                    <w:jc w:val="center"/>
                    <w:rPr>
                      <w:sz w:val="24"/>
                      <w:szCs w:val="24"/>
                    </w:rPr>
                  </w:pPr>
                  <w:r>
                    <w:rPr>
                      <w:sz w:val="24"/>
                      <w:szCs w:val="24"/>
                    </w:rPr>
                    <w:t>4.3</w:t>
                  </w:r>
                </w:p>
              </w:tc>
              <w:tc>
                <w:tcPr>
                  <w:tcW w:w="587" w:type="dxa"/>
                </w:tcPr>
                <w:p w:rsidR="00EE2AD2" w:rsidRDefault="00EE2AD2" w:rsidP="00EE2AD2">
                  <w:pPr>
                    <w:jc w:val="center"/>
                    <w:rPr>
                      <w:sz w:val="24"/>
                      <w:szCs w:val="24"/>
                    </w:rPr>
                  </w:pPr>
                  <w:r>
                    <w:rPr>
                      <w:sz w:val="24"/>
                      <w:szCs w:val="24"/>
                    </w:rPr>
                    <w:t>6</w:t>
                  </w:r>
                </w:p>
              </w:tc>
              <w:tc>
                <w:tcPr>
                  <w:tcW w:w="588" w:type="dxa"/>
                </w:tcPr>
                <w:p w:rsidR="00EE2AD2" w:rsidRDefault="00EE2AD2" w:rsidP="00EE2AD2">
                  <w:pPr>
                    <w:jc w:val="center"/>
                    <w:rPr>
                      <w:sz w:val="24"/>
                      <w:szCs w:val="24"/>
                    </w:rPr>
                  </w:pPr>
                  <w:r>
                    <w:rPr>
                      <w:sz w:val="24"/>
                      <w:szCs w:val="24"/>
                    </w:rPr>
                    <w:t>4</w:t>
                  </w:r>
                </w:p>
              </w:tc>
            </w:tr>
            <w:tr w:rsidR="00EE2AD2" w:rsidTr="00B53A56">
              <w:tc>
                <w:tcPr>
                  <w:tcW w:w="1174" w:type="dxa"/>
                </w:tcPr>
                <w:p w:rsidR="00EE2AD2" w:rsidRPr="00EE2AD2" w:rsidRDefault="00EE2AD2" w:rsidP="00EE2AD2">
                  <w:pPr>
                    <w:jc w:val="center"/>
                    <w:rPr>
                      <w:b/>
                      <w:sz w:val="24"/>
                      <w:szCs w:val="24"/>
                    </w:rPr>
                  </w:pPr>
                  <w:r w:rsidRPr="00EE2AD2">
                    <w:rPr>
                      <w:b/>
                      <w:sz w:val="24"/>
                      <w:szCs w:val="24"/>
                    </w:rPr>
                    <w:t>4</w:t>
                  </w:r>
                </w:p>
              </w:tc>
              <w:tc>
                <w:tcPr>
                  <w:tcW w:w="587" w:type="dxa"/>
                </w:tcPr>
                <w:p w:rsidR="00EE2AD2" w:rsidRDefault="00EE2AD2" w:rsidP="00EE2AD2">
                  <w:pPr>
                    <w:jc w:val="center"/>
                    <w:rPr>
                      <w:sz w:val="24"/>
                      <w:szCs w:val="24"/>
                    </w:rPr>
                  </w:pPr>
                  <w:r>
                    <w:rPr>
                      <w:sz w:val="24"/>
                      <w:szCs w:val="24"/>
                    </w:rPr>
                    <w:t>3</w:t>
                  </w:r>
                </w:p>
              </w:tc>
              <w:tc>
                <w:tcPr>
                  <w:tcW w:w="588" w:type="dxa"/>
                </w:tcPr>
                <w:p w:rsidR="00EE2AD2" w:rsidRDefault="00EE2AD2" w:rsidP="00EE2AD2">
                  <w:pPr>
                    <w:jc w:val="center"/>
                    <w:rPr>
                      <w:sz w:val="24"/>
                      <w:szCs w:val="24"/>
                    </w:rPr>
                  </w:pPr>
                  <w:r>
                    <w:rPr>
                      <w:sz w:val="24"/>
                      <w:szCs w:val="24"/>
                    </w:rPr>
                    <w:t>3.3</w:t>
                  </w:r>
                </w:p>
              </w:tc>
              <w:tc>
                <w:tcPr>
                  <w:tcW w:w="587" w:type="dxa"/>
                </w:tcPr>
                <w:p w:rsidR="00EE2AD2" w:rsidRDefault="00EE2AD2" w:rsidP="00EE2AD2">
                  <w:pPr>
                    <w:jc w:val="center"/>
                    <w:rPr>
                      <w:sz w:val="24"/>
                      <w:szCs w:val="24"/>
                    </w:rPr>
                  </w:pPr>
                  <w:r>
                    <w:rPr>
                      <w:sz w:val="24"/>
                      <w:szCs w:val="24"/>
                    </w:rPr>
                    <w:t>4</w:t>
                  </w:r>
                </w:p>
              </w:tc>
              <w:tc>
                <w:tcPr>
                  <w:tcW w:w="588" w:type="dxa"/>
                </w:tcPr>
                <w:p w:rsidR="00EE2AD2" w:rsidRDefault="00EE2AD2" w:rsidP="00EE2AD2">
                  <w:pPr>
                    <w:jc w:val="center"/>
                    <w:rPr>
                      <w:sz w:val="24"/>
                      <w:szCs w:val="24"/>
                    </w:rPr>
                  </w:pPr>
                  <w:r>
                    <w:rPr>
                      <w:sz w:val="24"/>
                      <w:szCs w:val="24"/>
                    </w:rPr>
                    <w:t>4.3</w:t>
                  </w:r>
                </w:p>
              </w:tc>
              <w:tc>
                <w:tcPr>
                  <w:tcW w:w="587" w:type="dxa"/>
                </w:tcPr>
                <w:p w:rsidR="00EE2AD2" w:rsidRDefault="00EE2AD2" w:rsidP="00EE2AD2">
                  <w:pPr>
                    <w:jc w:val="center"/>
                    <w:rPr>
                      <w:sz w:val="24"/>
                      <w:szCs w:val="24"/>
                    </w:rPr>
                  </w:pPr>
                  <w:r>
                    <w:rPr>
                      <w:sz w:val="24"/>
                      <w:szCs w:val="24"/>
                    </w:rPr>
                    <w:t>4</w:t>
                  </w:r>
                </w:p>
              </w:tc>
              <w:tc>
                <w:tcPr>
                  <w:tcW w:w="588" w:type="dxa"/>
                </w:tcPr>
                <w:p w:rsidR="00EE2AD2" w:rsidRDefault="00EE2AD2" w:rsidP="00EE2AD2">
                  <w:pPr>
                    <w:jc w:val="center"/>
                    <w:rPr>
                      <w:sz w:val="24"/>
                      <w:szCs w:val="24"/>
                    </w:rPr>
                  </w:pPr>
                  <w:r>
                    <w:rPr>
                      <w:sz w:val="24"/>
                      <w:szCs w:val="24"/>
                    </w:rPr>
                    <w:t>2.8</w:t>
                  </w:r>
                </w:p>
              </w:tc>
            </w:tr>
            <w:tr w:rsidR="00EE2AD2" w:rsidTr="00EF61F0">
              <w:tc>
                <w:tcPr>
                  <w:tcW w:w="1174" w:type="dxa"/>
                </w:tcPr>
                <w:p w:rsidR="00EE2AD2" w:rsidRPr="00EE2AD2" w:rsidRDefault="00EE2AD2" w:rsidP="00EE2AD2">
                  <w:pPr>
                    <w:jc w:val="center"/>
                    <w:rPr>
                      <w:b/>
                      <w:sz w:val="24"/>
                      <w:szCs w:val="24"/>
                    </w:rPr>
                  </w:pPr>
                  <w:r w:rsidRPr="00EE2AD2">
                    <w:rPr>
                      <w:b/>
                      <w:sz w:val="24"/>
                      <w:szCs w:val="24"/>
                    </w:rPr>
                    <w:t>5</w:t>
                  </w:r>
                </w:p>
              </w:tc>
              <w:tc>
                <w:tcPr>
                  <w:tcW w:w="587" w:type="dxa"/>
                </w:tcPr>
                <w:p w:rsidR="00EE2AD2" w:rsidRDefault="00EE2AD2" w:rsidP="00EE2AD2">
                  <w:pPr>
                    <w:jc w:val="center"/>
                    <w:rPr>
                      <w:sz w:val="24"/>
                      <w:szCs w:val="24"/>
                    </w:rPr>
                  </w:pPr>
                  <w:r>
                    <w:rPr>
                      <w:sz w:val="24"/>
                      <w:szCs w:val="24"/>
                    </w:rPr>
                    <w:t>2.7</w:t>
                  </w:r>
                </w:p>
              </w:tc>
              <w:tc>
                <w:tcPr>
                  <w:tcW w:w="588" w:type="dxa"/>
                </w:tcPr>
                <w:p w:rsidR="00EE2AD2" w:rsidRDefault="00EE2AD2" w:rsidP="00EE2AD2">
                  <w:pPr>
                    <w:jc w:val="center"/>
                    <w:rPr>
                      <w:sz w:val="24"/>
                      <w:szCs w:val="24"/>
                    </w:rPr>
                  </w:pPr>
                  <w:r>
                    <w:rPr>
                      <w:sz w:val="24"/>
                      <w:szCs w:val="24"/>
                    </w:rPr>
                    <w:t>3.2</w:t>
                  </w:r>
                </w:p>
              </w:tc>
              <w:tc>
                <w:tcPr>
                  <w:tcW w:w="587" w:type="dxa"/>
                </w:tcPr>
                <w:p w:rsidR="00EE2AD2" w:rsidRDefault="00EE2AD2" w:rsidP="00EE2AD2">
                  <w:pPr>
                    <w:jc w:val="center"/>
                    <w:rPr>
                      <w:sz w:val="24"/>
                      <w:szCs w:val="24"/>
                    </w:rPr>
                  </w:pPr>
                  <w:r>
                    <w:rPr>
                      <w:sz w:val="24"/>
                      <w:szCs w:val="24"/>
                    </w:rPr>
                    <w:t>2</w:t>
                  </w:r>
                </w:p>
              </w:tc>
              <w:tc>
                <w:tcPr>
                  <w:tcW w:w="588" w:type="dxa"/>
                </w:tcPr>
                <w:p w:rsidR="00EE2AD2" w:rsidRDefault="00EE2AD2" w:rsidP="00EE2AD2">
                  <w:pPr>
                    <w:jc w:val="center"/>
                    <w:rPr>
                      <w:sz w:val="24"/>
                      <w:szCs w:val="24"/>
                    </w:rPr>
                  </w:pPr>
                  <w:r>
                    <w:rPr>
                      <w:sz w:val="24"/>
                      <w:szCs w:val="24"/>
                    </w:rPr>
                    <w:t>2</w:t>
                  </w:r>
                </w:p>
              </w:tc>
              <w:tc>
                <w:tcPr>
                  <w:tcW w:w="587" w:type="dxa"/>
                </w:tcPr>
                <w:p w:rsidR="00EE2AD2" w:rsidRDefault="00EE2AD2" w:rsidP="00EE2AD2">
                  <w:pPr>
                    <w:jc w:val="center"/>
                    <w:rPr>
                      <w:sz w:val="24"/>
                      <w:szCs w:val="24"/>
                    </w:rPr>
                  </w:pPr>
                  <w:r>
                    <w:rPr>
                      <w:sz w:val="24"/>
                      <w:szCs w:val="24"/>
                    </w:rPr>
                    <w:t>5.3</w:t>
                  </w:r>
                </w:p>
              </w:tc>
              <w:tc>
                <w:tcPr>
                  <w:tcW w:w="588" w:type="dxa"/>
                </w:tcPr>
                <w:p w:rsidR="00EE2AD2" w:rsidRDefault="00EE2AD2" w:rsidP="00EE2AD2">
                  <w:pPr>
                    <w:jc w:val="center"/>
                    <w:rPr>
                      <w:sz w:val="24"/>
                      <w:szCs w:val="24"/>
                    </w:rPr>
                  </w:pPr>
                  <w:r>
                    <w:rPr>
                      <w:sz w:val="24"/>
                      <w:szCs w:val="24"/>
                    </w:rPr>
                    <w:t>5.5</w:t>
                  </w:r>
                </w:p>
              </w:tc>
            </w:tr>
            <w:tr w:rsidR="00EE2AD2" w:rsidTr="00580F63">
              <w:tc>
                <w:tcPr>
                  <w:tcW w:w="1174" w:type="dxa"/>
                </w:tcPr>
                <w:p w:rsidR="00EE2AD2" w:rsidRPr="00EE2AD2" w:rsidRDefault="00EE2AD2" w:rsidP="00EE2AD2">
                  <w:pPr>
                    <w:jc w:val="center"/>
                    <w:rPr>
                      <w:b/>
                      <w:sz w:val="24"/>
                      <w:szCs w:val="24"/>
                    </w:rPr>
                  </w:pPr>
                  <w:r w:rsidRPr="00EE2AD2">
                    <w:rPr>
                      <w:b/>
                      <w:sz w:val="24"/>
                      <w:szCs w:val="24"/>
                    </w:rPr>
                    <w:t>6</w:t>
                  </w:r>
                </w:p>
              </w:tc>
              <w:tc>
                <w:tcPr>
                  <w:tcW w:w="587" w:type="dxa"/>
                </w:tcPr>
                <w:p w:rsidR="00EE2AD2" w:rsidRDefault="00EE2AD2" w:rsidP="00EE2AD2">
                  <w:pPr>
                    <w:jc w:val="center"/>
                    <w:rPr>
                      <w:sz w:val="24"/>
                      <w:szCs w:val="24"/>
                    </w:rPr>
                  </w:pPr>
                  <w:r>
                    <w:rPr>
                      <w:sz w:val="24"/>
                      <w:szCs w:val="24"/>
                    </w:rPr>
                    <w:t>2.6</w:t>
                  </w:r>
                </w:p>
              </w:tc>
              <w:tc>
                <w:tcPr>
                  <w:tcW w:w="588" w:type="dxa"/>
                </w:tcPr>
                <w:p w:rsidR="00EE2AD2" w:rsidRDefault="00EE2AD2" w:rsidP="00EE2AD2">
                  <w:pPr>
                    <w:jc w:val="center"/>
                    <w:rPr>
                      <w:sz w:val="24"/>
                      <w:szCs w:val="24"/>
                    </w:rPr>
                  </w:pPr>
                  <w:r>
                    <w:rPr>
                      <w:sz w:val="24"/>
                      <w:szCs w:val="24"/>
                    </w:rPr>
                    <w:t>2.9</w:t>
                  </w:r>
                </w:p>
              </w:tc>
              <w:tc>
                <w:tcPr>
                  <w:tcW w:w="587" w:type="dxa"/>
                </w:tcPr>
                <w:p w:rsidR="00EE2AD2" w:rsidRDefault="00EE2AD2" w:rsidP="00EE2AD2">
                  <w:pPr>
                    <w:jc w:val="center"/>
                    <w:rPr>
                      <w:sz w:val="24"/>
                      <w:szCs w:val="24"/>
                    </w:rPr>
                  </w:pPr>
                  <w:r>
                    <w:rPr>
                      <w:sz w:val="24"/>
                      <w:szCs w:val="24"/>
                    </w:rPr>
                    <w:t>3.1</w:t>
                  </w:r>
                </w:p>
              </w:tc>
              <w:tc>
                <w:tcPr>
                  <w:tcW w:w="588" w:type="dxa"/>
                </w:tcPr>
                <w:p w:rsidR="00EE2AD2" w:rsidRDefault="00EE2AD2" w:rsidP="00EE2AD2">
                  <w:pPr>
                    <w:jc w:val="center"/>
                    <w:rPr>
                      <w:sz w:val="24"/>
                      <w:szCs w:val="24"/>
                    </w:rPr>
                  </w:pPr>
                  <w:r>
                    <w:rPr>
                      <w:sz w:val="24"/>
                      <w:szCs w:val="24"/>
                    </w:rPr>
                    <w:t>3.5</w:t>
                  </w:r>
                </w:p>
              </w:tc>
              <w:tc>
                <w:tcPr>
                  <w:tcW w:w="587" w:type="dxa"/>
                </w:tcPr>
                <w:p w:rsidR="00EE2AD2" w:rsidRDefault="00EE2AD2" w:rsidP="00EE2AD2">
                  <w:pPr>
                    <w:jc w:val="center"/>
                    <w:rPr>
                      <w:sz w:val="24"/>
                      <w:szCs w:val="24"/>
                    </w:rPr>
                  </w:pPr>
                  <w:r>
                    <w:rPr>
                      <w:sz w:val="24"/>
                      <w:szCs w:val="24"/>
                    </w:rPr>
                    <w:t>4.3</w:t>
                  </w:r>
                </w:p>
              </w:tc>
              <w:tc>
                <w:tcPr>
                  <w:tcW w:w="588" w:type="dxa"/>
                </w:tcPr>
                <w:p w:rsidR="00EE2AD2" w:rsidRDefault="00EE2AD2" w:rsidP="00EE2AD2">
                  <w:pPr>
                    <w:jc w:val="center"/>
                    <w:rPr>
                      <w:sz w:val="24"/>
                      <w:szCs w:val="24"/>
                    </w:rPr>
                  </w:pPr>
                  <w:r>
                    <w:rPr>
                      <w:sz w:val="24"/>
                      <w:szCs w:val="24"/>
                    </w:rPr>
                    <w:t>4.5</w:t>
                  </w:r>
                </w:p>
              </w:tc>
            </w:tr>
          </w:tbl>
          <w:p w:rsidR="00EE2AD2" w:rsidRDefault="00EE2AD2" w:rsidP="00B43532">
            <w:pPr>
              <w:rPr>
                <w:sz w:val="24"/>
                <w:szCs w:val="24"/>
              </w:rPr>
            </w:pPr>
          </w:p>
          <w:p w:rsidR="00EE2AD2" w:rsidRDefault="00EE2AD2" w:rsidP="00EE2AD2">
            <w:r>
              <w:t xml:space="preserve">This shows that in most year groups, children eligible for Pupil premium funding have made </w:t>
            </w:r>
            <w:r>
              <w:t>about the same</w:t>
            </w:r>
            <w:r>
              <w:t xml:space="preserve"> (or more) progress than </w:t>
            </w:r>
            <w:proofErr w:type="spellStart"/>
            <w:r>
              <w:t>non Pupil</w:t>
            </w:r>
            <w:proofErr w:type="spellEnd"/>
            <w:r>
              <w:t xml:space="preserve"> premium children. </w:t>
            </w:r>
            <w:r w:rsidR="00D775EA">
              <w:t xml:space="preserve"> All PP children in all year groups made more than expected progress in reading, writing and maths (except in year 5 and 6 reading which was slightly below)</w:t>
            </w:r>
            <w:bookmarkStart w:id="0" w:name="_GoBack"/>
            <w:bookmarkEnd w:id="0"/>
          </w:p>
          <w:p w:rsidR="00EE2AD2" w:rsidRDefault="00EE2AD2" w:rsidP="00EE2AD2"/>
          <w:p w:rsidR="00EE2AD2" w:rsidRDefault="00EE2AD2" w:rsidP="00EE2AD2">
            <w:r>
              <w:t>TAs are able to support the learning within class as well as taking individual and small groups for intervention</w:t>
            </w:r>
            <w:r>
              <w:t xml:space="preserve">. Pre-teaching also takes </w:t>
            </w:r>
            <w:r>
              <w:t xml:space="preserve">place. </w:t>
            </w:r>
            <w:proofErr w:type="gramStart"/>
            <w:r>
              <w:t>which</w:t>
            </w:r>
            <w:proofErr w:type="gramEnd"/>
            <w:r>
              <w:t xml:space="preserve"> is reflected in the good progress.</w:t>
            </w:r>
          </w:p>
          <w:p w:rsidR="00D775EA" w:rsidRDefault="00D775EA" w:rsidP="00EE2AD2"/>
          <w:p w:rsidR="00D775EA" w:rsidRPr="00DA026F" w:rsidRDefault="00D775EA" w:rsidP="00D775EA">
            <w:pPr>
              <w:rPr>
                <w:b/>
              </w:rPr>
            </w:pPr>
            <w:r w:rsidRPr="00DA026F">
              <w:rPr>
                <w:b/>
              </w:rPr>
              <w:t>Breakfast Club:</w:t>
            </w:r>
          </w:p>
          <w:p w:rsidR="00D775EA" w:rsidRPr="00DA026F" w:rsidRDefault="00D775EA" w:rsidP="00D775EA">
            <w:r w:rsidRPr="00DA026F">
              <w:t>This</w:t>
            </w:r>
            <w:r>
              <w:t xml:space="preserve"> good progress also reflects that tho</w:t>
            </w:r>
            <w:r w:rsidRPr="00DA026F">
              <w:t xml:space="preserve">se children </w:t>
            </w:r>
            <w:r>
              <w:t xml:space="preserve">attending Breakfast Club </w:t>
            </w:r>
            <w:r w:rsidRPr="00DA026F">
              <w:t>start the school day with a healthy breakfast in a calm, settled manner ready to start the day’s learning. During breakfast club, homework is supported as well as areas of learning that these children find difficult.</w:t>
            </w:r>
          </w:p>
          <w:p w:rsidR="00D775EA" w:rsidRDefault="00D775EA" w:rsidP="00EE2AD2">
            <w:pPr>
              <w:rPr>
                <w:sz w:val="24"/>
                <w:szCs w:val="24"/>
              </w:rPr>
            </w:pPr>
          </w:p>
          <w:p w:rsidR="00B43532" w:rsidRDefault="00B43532">
            <w:pPr>
              <w:rPr>
                <w:sz w:val="32"/>
                <w:szCs w:val="32"/>
              </w:rPr>
            </w:pPr>
          </w:p>
        </w:tc>
      </w:tr>
      <w:tr w:rsidR="00B43532" w:rsidTr="00B02A5F">
        <w:tc>
          <w:tcPr>
            <w:tcW w:w="3686" w:type="dxa"/>
          </w:tcPr>
          <w:p w:rsidR="00B43532" w:rsidRPr="007511DC" w:rsidRDefault="00B43532" w:rsidP="00C317F8">
            <w:pPr>
              <w:rPr>
                <w:sz w:val="32"/>
                <w:szCs w:val="32"/>
              </w:rPr>
            </w:pPr>
            <w:r>
              <w:rPr>
                <w:sz w:val="32"/>
                <w:szCs w:val="32"/>
              </w:rPr>
              <w:t>Cool milk</w:t>
            </w:r>
          </w:p>
        </w:tc>
        <w:tc>
          <w:tcPr>
            <w:tcW w:w="1595" w:type="dxa"/>
          </w:tcPr>
          <w:p w:rsidR="00B43532" w:rsidRDefault="00B43532" w:rsidP="00397465">
            <w:pPr>
              <w:rPr>
                <w:sz w:val="32"/>
                <w:szCs w:val="32"/>
              </w:rPr>
            </w:pPr>
            <w:r>
              <w:rPr>
                <w:sz w:val="32"/>
                <w:szCs w:val="32"/>
              </w:rPr>
              <w:t>£69.30</w:t>
            </w:r>
          </w:p>
        </w:tc>
        <w:tc>
          <w:tcPr>
            <w:tcW w:w="4925" w:type="dxa"/>
            <w:gridSpan w:val="2"/>
          </w:tcPr>
          <w:p w:rsidR="00507A7F" w:rsidRDefault="00507A7F" w:rsidP="00507A7F">
            <w:pPr>
              <w:rPr>
                <w:sz w:val="24"/>
                <w:szCs w:val="24"/>
              </w:rPr>
            </w:pPr>
            <w:r w:rsidRPr="006E4F26">
              <w:rPr>
                <w:sz w:val="24"/>
                <w:szCs w:val="24"/>
              </w:rPr>
              <w:t>Any children who were eligible for the pupil Premium funding</w:t>
            </w:r>
            <w:r>
              <w:rPr>
                <w:sz w:val="24"/>
                <w:szCs w:val="24"/>
              </w:rPr>
              <w:t xml:space="preserve"> were offered free milk. This provided children with a healthy drink which supported their general </w:t>
            </w:r>
            <w:proofErr w:type="spellStart"/>
            <w:r>
              <w:rPr>
                <w:sz w:val="24"/>
                <w:szCs w:val="24"/>
              </w:rPr>
              <w:t>well being</w:t>
            </w:r>
            <w:proofErr w:type="spellEnd"/>
            <w:r>
              <w:rPr>
                <w:sz w:val="24"/>
                <w:szCs w:val="24"/>
              </w:rPr>
              <w:t>.</w:t>
            </w:r>
          </w:p>
          <w:p w:rsidR="00B43532" w:rsidRDefault="00B43532" w:rsidP="00507A7F">
            <w:pPr>
              <w:rPr>
                <w:sz w:val="32"/>
                <w:szCs w:val="32"/>
              </w:rPr>
            </w:pPr>
          </w:p>
        </w:tc>
      </w:tr>
      <w:tr w:rsidR="009B0BC7" w:rsidTr="00B02A5F">
        <w:tc>
          <w:tcPr>
            <w:tcW w:w="3686" w:type="dxa"/>
          </w:tcPr>
          <w:p w:rsidR="009B0BC7" w:rsidRDefault="001C7C12">
            <w:pPr>
              <w:rPr>
                <w:sz w:val="32"/>
                <w:szCs w:val="32"/>
              </w:rPr>
            </w:pPr>
            <w:r>
              <w:rPr>
                <w:sz w:val="32"/>
                <w:szCs w:val="32"/>
              </w:rPr>
              <w:t>PSA</w:t>
            </w:r>
          </w:p>
        </w:tc>
        <w:tc>
          <w:tcPr>
            <w:tcW w:w="1595" w:type="dxa"/>
          </w:tcPr>
          <w:p w:rsidR="009B0BC7" w:rsidRDefault="00C317F8">
            <w:pPr>
              <w:rPr>
                <w:sz w:val="32"/>
                <w:szCs w:val="32"/>
              </w:rPr>
            </w:pPr>
            <w:r>
              <w:rPr>
                <w:sz w:val="32"/>
                <w:szCs w:val="32"/>
              </w:rPr>
              <w:t>£948.00</w:t>
            </w:r>
          </w:p>
        </w:tc>
        <w:tc>
          <w:tcPr>
            <w:tcW w:w="4925" w:type="dxa"/>
            <w:gridSpan w:val="2"/>
          </w:tcPr>
          <w:p w:rsidR="00507A7F" w:rsidRDefault="00507A7F" w:rsidP="00507A7F">
            <w:pPr>
              <w:rPr>
                <w:sz w:val="24"/>
                <w:szCs w:val="24"/>
              </w:rPr>
            </w:pPr>
            <w:r w:rsidRPr="006E4F26">
              <w:rPr>
                <w:sz w:val="24"/>
                <w:szCs w:val="24"/>
              </w:rPr>
              <w:t>A Parent Support Adviser</w:t>
            </w:r>
            <w:r>
              <w:rPr>
                <w:sz w:val="24"/>
                <w:szCs w:val="24"/>
              </w:rPr>
              <w:t xml:space="preserve"> is employed across the Roseland feeder schools. This was part funded by Pupil Premium because children eligible for Pupil premium funding made use of the PSA’s services. Following this intervention, the children were able to access learning more effectively and developed a more positive attitude to learning. The positive impact on these children’s learning resulted in an improved learning environment for the whole class.</w:t>
            </w:r>
          </w:p>
          <w:p w:rsidR="009B0BC7" w:rsidRDefault="009B0BC7" w:rsidP="00507A7F">
            <w:pPr>
              <w:rPr>
                <w:sz w:val="32"/>
                <w:szCs w:val="32"/>
              </w:rPr>
            </w:pPr>
          </w:p>
        </w:tc>
      </w:tr>
      <w:tr w:rsidR="00566441" w:rsidTr="00B02A5F">
        <w:tc>
          <w:tcPr>
            <w:tcW w:w="3686" w:type="dxa"/>
            <w:shd w:val="clear" w:color="auto" w:fill="D9D9D9" w:themeFill="background1" w:themeFillShade="D9"/>
          </w:tcPr>
          <w:p w:rsidR="00566441" w:rsidRPr="00CF3E50" w:rsidRDefault="00CF3E50">
            <w:pPr>
              <w:rPr>
                <w:sz w:val="32"/>
                <w:szCs w:val="32"/>
              </w:rPr>
            </w:pPr>
            <w:r w:rsidRPr="00CF3E50">
              <w:rPr>
                <w:sz w:val="32"/>
                <w:szCs w:val="32"/>
              </w:rPr>
              <w:t xml:space="preserve">Total Expenditure </w:t>
            </w:r>
          </w:p>
        </w:tc>
        <w:tc>
          <w:tcPr>
            <w:tcW w:w="1595" w:type="dxa"/>
            <w:shd w:val="clear" w:color="auto" w:fill="D9D9D9" w:themeFill="background1" w:themeFillShade="D9"/>
          </w:tcPr>
          <w:p w:rsidR="00566441" w:rsidRDefault="00CF3E50" w:rsidP="005660F1">
            <w:pPr>
              <w:rPr>
                <w:sz w:val="32"/>
                <w:szCs w:val="32"/>
              </w:rPr>
            </w:pPr>
            <w:r w:rsidRPr="00CF3E50">
              <w:rPr>
                <w:sz w:val="32"/>
                <w:szCs w:val="32"/>
              </w:rPr>
              <w:t>£</w:t>
            </w:r>
            <w:r w:rsidR="00C317F8">
              <w:rPr>
                <w:sz w:val="32"/>
                <w:szCs w:val="32"/>
              </w:rPr>
              <w:t>17</w:t>
            </w:r>
            <w:r w:rsidR="005660F1">
              <w:rPr>
                <w:sz w:val="32"/>
                <w:szCs w:val="32"/>
              </w:rPr>
              <w:t>326</w:t>
            </w:r>
          </w:p>
        </w:tc>
        <w:tc>
          <w:tcPr>
            <w:tcW w:w="4925" w:type="dxa"/>
            <w:gridSpan w:val="2"/>
            <w:shd w:val="clear" w:color="auto" w:fill="D9D9D9" w:themeFill="background1" w:themeFillShade="D9"/>
          </w:tcPr>
          <w:p w:rsidR="00566441" w:rsidRDefault="00566441">
            <w:pPr>
              <w:rPr>
                <w:sz w:val="32"/>
                <w:szCs w:val="32"/>
              </w:rPr>
            </w:pPr>
          </w:p>
        </w:tc>
      </w:tr>
      <w:tr w:rsidR="00566441" w:rsidTr="00B02A5F">
        <w:tc>
          <w:tcPr>
            <w:tcW w:w="3686" w:type="dxa"/>
          </w:tcPr>
          <w:p w:rsidR="00566441" w:rsidRDefault="00566441">
            <w:pPr>
              <w:rPr>
                <w:sz w:val="32"/>
                <w:szCs w:val="32"/>
              </w:rPr>
            </w:pPr>
          </w:p>
        </w:tc>
        <w:tc>
          <w:tcPr>
            <w:tcW w:w="1595" w:type="dxa"/>
          </w:tcPr>
          <w:p w:rsidR="00566441" w:rsidRDefault="00566441">
            <w:pPr>
              <w:rPr>
                <w:sz w:val="32"/>
                <w:szCs w:val="32"/>
              </w:rPr>
            </w:pPr>
          </w:p>
        </w:tc>
        <w:tc>
          <w:tcPr>
            <w:tcW w:w="4925" w:type="dxa"/>
            <w:gridSpan w:val="2"/>
          </w:tcPr>
          <w:p w:rsidR="00566441" w:rsidRDefault="00566441">
            <w:pPr>
              <w:rPr>
                <w:sz w:val="32"/>
                <w:szCs w:val="32"/>
              </w:rPr>
            </w:pPr>
          </w:p>
        </w:tc>
      </w:tr>
      <w:tr w:rsidR="00F554CD" w:rsidTr="00B02A5F">
        <w:tc>
          <w:tcPr>
            <w:tcW w:w="3686" w:type="dxa"/>
            <w:shd w:val="clear" w:color="auto" w:fill="D9D9D9" w:themeFill="background1" w:themeFillShade="D9"/>
          </w:tcPr>
          <w:p w:rsidR="00F554CD" w:rsidRDefault="00CF3E50">
            <w:pPr>
              <w:rPr>
                <w:sz w:val="32"/>
                <w:szCs w:val="32"/>
              </w:rPr>
            </w:pPr>
            <w:r>
              <w:rPr>
                <w:sz w:val="32"/>
                <w:szCs w:val="32"/>
              </w:rPr>
              <w:t xml:space="preserve">Amount carried forward </w:t>
            </w:r>
          </w:p>
        </w:tc>
        <w:tc>
          <w:tcPr>
            <w:tcW w:w="1595" w:type="dxa"/>
            <w:shd w:val="clear" w:color="auto" w:fill="D9D9D9" w:themeFill="background1" w:themeFillShade="D9"/>
          </w:tcPr>
          <w:p w:rsidR="00F554CD" w:rsidRDefault="00CF3E50">
            <w:pPr>
              <w:rPr>
                <w:sz w:val="32"/>
                <w:szCs w:val="32"/>
              </w:rPr>
            </w:pPr>
            <w:r>
              <w:rPr>
                <w:sz w:val="32"/>
                <w:szCs w:val="32"/>
              </w:rPr>
              <w:t>£0</w:t>
            </w:r>
          </w:p>
        </w:tc>
        <w:tc>
          <w:tcPr>
            <w:tcW w:w="4925" w:type="dxa"/>
            <w:gridSpan w:val="2"/>
            <w:shd w:val="clear" w:color="auto" w:fill="D9D9D9" w:themeFill="background1" w:themeFillShade="D9"/>
          </w:tcPr>
          <w:p w:rsidR="00F554CD" w:rsidRDefault="00F554CD">
            <w:pPr>
              <w:rPr>
                <w:sz w:val="32"/>
                <w:szCs w:val="32"/>
              </w:rPr>
            </w:pPr>
          </w:p>
        </w:tc>
      </w:tr>
    </w:tbl>
    <w:p w:rsidR="00FD14C2" w:rsidRPr="005B054F" w:rsidRDefault="00FD14C2" w:rsidP="00C317F8">
      <w:pPr>
        <w:rPr>
          <w:sz w:val="32"/>
          <w:szCs w:val="32"/>
        </w:rPr>
      </w:pPr>
    </w:p>
    <w:sectPr w:rsidR="00FD14C2" w:rsidRPr="005B054F" w:rsidSect="005B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F"/>
    <w:rsid w:val="0003236B"/>
    <w:rsid w:val="00072721"/>
    <w:rsid w:val="000E7316"/>
    <w:rsid w:val="00105FF9"/>
    <w:rsid w:val="001C7C12"/>
    <w:rsid w:val="001D7E40"/>
    <w:rsid w:val="002E2A92"/>
    <w:rsid w:val="00397465"/>
    <w:rsid w:val="003C0FF6"/>
    <w:rsid w:val="004517A3"/>
    <w:rsid w:val="00496B01"/>
    <w:rsid w:val="004A125F"/>
    <w:rsid w:val="00507A7F"/>
    <w:rsid w:val="00531A88"/>
    <w:rsid w:val="00540F09"/>
    <w:rsid w:val="005660F1"/>
    <w:rsid w:val="00566441"/>
    <w:rsid w:val="00574868"/>
    <w:rsid w:val="005B054F"/>
    <w:rsid w:val="005C2ADC"/>
    <w:rsid w:val="005C3BF1"/>
    <w:rsid w:val="00620522"/>
    <w:rsid w:val="006805A5"/>
    <w:rsid w:val="00684488"/>
    <w:rsid w:val="006F53D3"/>
    <w:rsid w:val="007048E8"/>
    <w:rsid w:val="00715C3A"/>
    <w:rsid w:val="007511DC"/>
    <w:rsid w:val="007B6404"/>
    <w:rsid w:val="007C116C"/>
    <w:rsid w:val="007C7672"/>
    <w:rsid w:val="007E6CBC"/>
    <w:rsid w:val="00814DEE"/>
    <w:rsid w:val="00877EFE"/>
    <w:rsid w:val="00913FF1"/>
    <w:rsid w:val="00965047"/>
    <w:rsid w:val="009A3159"/>
    <w:rsid w:val="009B0BC7"/>
    <w:rsid w:val="009D621D"/>
    <w:rsid w:val="00A9254E"/>
    <w:rsid w:val="00B02A5F"/>
    <w:rsid w:val="00B2764C"/>
    <w:rsid w:val="00B43532"/>
    <w:rsid w:val="00C317F8"/>
    <w:rsid w:val="00CF3E50"/>
    <w:rsid w:val="00D72578"/>
    <w:rsid w:val="00D775EA"/>
    <w:rsid w:val="00D92D76"/>
    <w:rsid w:val="00E24F97"/>
    <w:rsid w:val="00EC664C"/>
    <w:rsid w:val="00EE2AD2"/>
    <w:rsid w:val="00EE785B"/>
    <w:rsid w:val="00F554CD"/>
    <w:rsid w:val="00FD14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305A161-9ACC-48D7-8703-E30EFF6D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Lisa</cp:lastModifiedBy>
  <cp:revision>3</cp:revision>
  <cp:lastPrinted>2014-11-04T14:05:00Z</cp:lastPrinted>
  <dcterms:created xsi:type="dcterms:W3CDTF">2016-07-06T09:13:00Z</dcterms:created>
  <dcterms:modified xsi:type="dcterms:W3CDTF">2016-07-06T09:15:00Z</dcterms:modified>
</cp:coreProperties>
</file>