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8B" w:rsidRDefault="004E52C2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bookmarkStart w:id="0" w:name="_GoBack"/>
      <w:bookmarkEnd w:id="0"/>
      <w:r>
        <w:rPr>
          <w:rFonts w:ascii="Verdana" w:hAnsi="Verdana"/>
          <w:b/>
          <w:noProof/>
          <w:color w:val="4F81BD" w:themeColor="accent1"/>
          <w:sz w:val="28"/>
        </w:rPr>
        <w:drawing>
          <wp:inline distT="0" distB="0" distL="0" distR="0" wp14:anchorId="51E1AECB" wp14:editId="59FB7F8E">
            <wp:extent cx="2105025" cy="1074481"/>
            <wp:effectExtent l="0" t="0" r="0" b="0"/>
            <wp:docPr id="1" name="Picture 1" descr="Q:\Correspondance &amp; Forms\Logos\P-Cro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rrespondance &amp; Forms\Logos\P-Cro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C2" w:rsidRDefault="004E52C2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</w:p>
    <w:p w:rsidR="00414B8B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t>Health and Safety Policy</w:t>
      </w:r>
    </w:p>
    <w:p w:rsidR="00414B8B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1"/>
        <w:gridCol w:w="1475"/>
      </w:tblGrid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F604F">
              <w:rPr>
                <w:rFonts w:ascii="Verdana" w:hAnsi="Verdana"/>
                <w:b/>
              </w:rPr>
              <w:t>Page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 Statement of Safety Policy</w:t>
            </w: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EB18D1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 </w:t>
            </w:r>
            <w:r w:rsidR="00DF604F">
              <w:rPr>
                <w:rFonts w:ascii="Verdana" w:hAnsi="Verdana"/>
                <w:b/>
              </w:rPr>
              <w:t xml:space="preserve">Roles and Responsibilities </w:t>
            </w: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 Arrangements for Health and Safety</w:t>
            </w:r>
          </w:p>
        </w:tc>
        <w:tc>
          <w:tcPr>
            <w:tcW w:w="1043" w:type="dxa"/>
          </w:tcPr>
          <w:p w:rsidR="00DF604F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Roles and Responsibilities</w:t>
            </w:r>
          </w:p>
        </w:tc>
        <w:tc>
          <w:tcPr>
            <w:tcW w:w="1043" w:type="dxa"/>
          </w:tcPr>
          <w:p w:rsidR="00DF604F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Additional document </w:t>
            </w:r>
          </w:p>
        </w:tc>
      </w:tr>
      <w:tr w:rsidR="00EB18D1" w:rsidTr="00DF604F">
        <w:tc>
          <w:tcPr>
            <w:tcW w:w="7479" w:type="dxa"/>
          </w:tcPr>
          <w:p w:rsidR="00EB18D1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Arrangements for Health and Safety</w:t>
            </w:r>
          </w:p>
        </w:tc>
        <w:tc>
          <w:tcPr>
            <w:tcW w:w="1043" w:type="dxa"/>
          </w:tcPr>
          <w:p w:rsidR="00EB18D1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Additional policy document </w:t>
            </w:r>
          </w:p>
        </w:tc>
      </w:tr>
    </w:tbl>
    <w:p w:rsidR="00414B8B" w:rsidRPr="00866127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</w:p>
    <w:p w:rsidR="00414B8B" w:rsidRDefault="00414B8B">
      <w:pPr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br w:type="page"/>
      </w:r>
    </w:p>
    <w:p w:rsidR="00025C90" w:rsidRPr="00866127" w:rsidRDefault="00D610CC" w:rsidP="00D610CC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 w:rsidRPr="00866127">
        <w:rPr>
          <w:rFonts w:ascii="Verdana" w:hAnsi="Verdana"/>
          <w:b/>
          <w:color w:val="4F81BD" w:themeColor="accent1"/>
          <w:sz w:val="28"/>
        </w:rPr>
        <w:lastRenderedPageBreak/>
        <w:t xml:space="preserve">Statement of </w:t>
      </w:r>
      <w:r w:rsidR="00380621">
        <w:rPr>
          <w:rFonts w:ascii="Verdana" w:hAnsi="Verdana"/>
          <w:b/>
          <w:color w:val="4F81BD" w:themeColor="accent1"/>
          <w:sz w:val="28"/>
        </w:rPr>
        <w:t xml:space="preserve">Health and </w:t>
      </w:r>
      <w:r w:rsidRPr="00866127">
        <w:rPr>
          <w:rFonts w:ascii="Verdana" w:hAnsi="Verdana"/>
          <w:b/>
          <w:color w:val="4F81BD" w:themeColor="accent1"/>
          <w:sz w:val="28"/>
        </w:rPr>
        <w:t>Safety Policy</w:t>
      </w:r>
    </w:p>
    <w:p w:rsidR="00D610CC" w:rsidRDefault="00D610CC">
      <w:pPr>
        <w:spacing w:before="120" w:after="120"/>
        <w:jc w:val="center"/>
        <w:rPr>
          <w:rFonts w:ascii="Verdana" w:hAnsi="Verdana"/>
        </w:rPr>
      </w:pPr>
    </w:p>
    <w:p w:rsidR="007A341F" w:rsidRDefault="000F435F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St Piran’s Cross Multi</w:t>
      </w:r>
      <w:r w:rsidR="004E52C2">
        <w:rPr>
          <w:rFonts w:ascii="Verdana" w:hAnsi="Verdana"/>
        </w:rPr>
        <w:t xml:space="preserve">-Academy Trust </w:t>
      </w:r>
      <w:r w:rsidR="007A341F">
        <w:rPr>
          <w:rFonts w:ascii="Verdana" w:hAnsi="Verdana"/>
        </w:rPr>
        <w:t>:-</w:t>
      </w:r>
    </w:p>
    <w:p w:rsidR="00D610CC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Recognises</w:t>
      </w:r>
      <w:r w:rsidR="00D610CC">
        <w:rPr>
          <w:rFonts w:ascii="Verdana" w:hAnsi="Verdana"/>
        </w:rPr>
        <w:t xml:space="preserve"> its legal and moral responsibilities to persons who may be adversely affected by the </w:t>
      </w:r>
      <w:r w:rsidR="0001339D">
        <w:rPr>
          <w:rFonts w:ascii="Verdana" w:hAnsi="Verdana"/>
        </w:rPr>
        <w:t>Multi Academy Trust</w:t>
      </w:r>
      <w:r w:rsidR="00D610CC">
        <w:rPr>
          <w:rFonts w:ascii="Verdana" w:hAnsi="Verdana"/>
        </w:rPr>
        <w:t>’s activities.</w:t>
      </w:r>
    </w:p>
    <w:p w:rsidR="00D610CC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Is</w:t>
      </w:r>
      <w:r w:rsidR="00D610CC">
        <w:rPr>
          <w:rFonts w:ascii="Verdana" w:hAnsi="Verdana"/>
        </w:rPr>
        <w:t xml:space="preserve"> committed to ensuring, by all reasonably practical means, the health, safety and </w:t>
      </w:r>
      <w:r w:rsidR="00B952A1">
        <w:rPr>
          <w:rFonts w:ascii="Verdana" w:hAnsi="Verdana"/>
        </w:rPr>
        <w:t>welfare</w:t>
      </w:r>
      <w:r w:rsidR="00D610CC">
        <w:rPr>
          <w:rFonts w:ascii="Verdana" w:hAnsi="Verdana"/>
        </w:rPr>
        <w:t xml:space="preserve"> of its students, visitors, employees and contractors involved with its activities.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seek to ensure that its legal duties and policy objectives are complied with at all times.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ensure that all foreseeable risks associated with the </w:t>
      </w:r>
      <w:r w:rsidR="0001339D">
        <w:rPr>
          <w:rFonts w:ascii="Verdana" w:hAnsi="Verdana"/>
        </w:rPr>
        <w:t>Multi Academy Trust</w:t>
      </w:r>
      <w:r w:rsidR="007A341F">
        <w:rPr>
          <w:rFonts w:ascii="Verdana" w:hAnsi="Verdana"/>
        </w:rPr>
        <w:t>’s activities are identified and removed or controlled through a process of risk assessment and management.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 ensure that all</w:t>
      </w:r>
      <w:r w:rsidR="007A341F">
        <w:rPr>
          <w:rFonts w:ascii="Verdana" w:hAnsi="Verdana"/>
        </w:rPr>
        <w:t xml:space="preserve"> employees </w:t>
      </w:r>
      <w:r>
        <w:rPr>
          <w:rFonts w:ascii="Verdana" w:hAnsi="Verdana"/>
        </w:rPr>
        <w:t>are</w:t>
      </w:r>
      <w:r w:rsidR="007A341F">
        <w:rPr>
          <w:rFonts w:ascii="Verdana" w:hAnsi="Verdana"/>
        </w:rPr>
        <w:t xml:space="preserve"> given such information, instruction and training as may be necessary to enable the safe performance of their duties.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seek to inform students’ parents or guardian of any health, safety or </w:t>
      </w:r>
      <w:r w:rsidR="00B952A1">
        <w:rPr>
          <w:rFonts w:ascii="Verdana" w:hAnsi="Verdana"/>
        </w:rPr>
        <w:t>welfare</w:t>
      </w:r>
      <w:r w:rsidR="007A341F">
        <w:rPr>
          <w:rFonts w:ascii="Verdana" w:hAnsi="Verdana"/>
        </w:rPr>
        <w:t xml:space="preserve"> issues relevant to their child or children.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Have detailed t</w:t>
      </w:r>
      <w:r w:rsidR="007A341F">
        <w:rPr>
          <w:rFonts w:ascii="Verdana" w:hAnsi="Verdana"/>
        </w:rPr>
        <w:t xml:space="preserve">he arrangements for health safety and </w:t>
      </w:r>
      <w:r w:rsidR="00B952A1">
        <w:rPr>
          <w:rFonts w:ascii="Verdana" w:hAnsi="Verdana"/>
        </w:rPr>
        <w:t>welfare</w:t>
      </w:r>
      <w:r w:rsidR="007A341F">
        <w:rPr>
          <w:rFonts w:ascii="Verdana" w:hAnsi="Verdana"/>
        </w:rPr>
        <w:t xml:space="preserve"> in the Organisation and Arrangements associated with this policy statement.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ensure, as far as is reasonably practical, that this policy statement and supporting documents are kept up-to-date.  A formal review and re-adoption of this policy will be carried out by no later than </w:t>
      </w:r>
      <w:r w:rsidR="004E52C2">
        <w:rPr>
          <w:rFonts w:ascii="Verdana" w:hAnsi="Verdana"/>
        </w:rPr>
        <w:t>November 2017.</w:t>
      </w:r>
    </w:p>
    <w:p w:rsidR="001F288E" w:rsidRDefault="001F288E" w:rsidP="007A341F">
      <w:pPr>
        <w:spacing w:before="120" w:after="120"/>
        <w:jc w:val="both"/>
        <w:rPr>
          <w:rFonts w:ascii="Verdana" w:hAnsi="Verdana"/>
        </w:rPr>
      </w:pPr>
    </w:p>
    <w:p w:rsidR="007A341F" w:rsidRDefault="001F288E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Approved and adopted by: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111"/>
      </w:tblGrid>
      <w:tr w:rsidR="001F288E" w:rsidTr="001F288E">
        <w:tc>
          <w:tcPr>
            <w:tcW w:w="4077" w:type="dxa"/>
            <w:tcBorders>
              <w:bottom w:val="single" w:sz="4" w:space="0" w:color="auto"/>
            </w:tcBorders>
          </w:tcPr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84" w:type="dxa"/>
          </w:tcPr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288E" w:rsidRDefault="001F288E" w:rsidP="001F288E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1F288E" w:rsidTr="001F288E">
        <w:tc>
          <w:tcPr>
            <w:tcW w:w="4077" w:type="dxa"/>
            <w:tcBorders>
              <w:top w:val="single" w:sz="4" w:space="0" w:color="auto"/>
            </w:tcBorders>
          </w:tcPr>
          <w:p w:rsidR="001F288E" w:rsidRPr="004B39CD" w:rsidRDefault="001F288E" w:rsidP="004B39CD">
            <w:pPr>
              <w:spacing w:before="120" w:after="120"/>
              <w:jc w:val="center"/>
              <w:rPr>
                <w:rFonts w:ascii="Verdana" w:hAnsi="Verdana"/>
              </w:rPr>
            </w:pPr>
            <w:r w:rsidRPr="004B39CD">
              <w:rPr>
                <w:rFonts w:ascii="Verdana" w:hAnsi="Verdana"/>
              </w:rPr>
              <w:t>Chair of the Board of Trustees</w:t>
            </w:r>
          </w:p>
        </w:tc>
        <w:tc>
          <w:tcPr>
            <w:tcW w:w="284" w:type="dxa"/>
          </w:tcPr>
          <w:p w:rsidR="001F288E" w:rsidRPr="004B39CD" w:rsidRDefault="001F288E" w:rsidP="001F288E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288E" w:rsidRPr="004B39CD" w:rsidRDefault="001F288E" w:rsidP="004B39C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4B39CD">
              <w:rPr>
                <w:rFonts w:ascii="Verdana" w:hAnsi="Verdana"/>
              </w:rPr>
              <w:t>Principal</w:t>
            </w:r>
          </w:p>
        </w:tc>
      </w:tr>
    </w:tbl>
    <w:p w:rsidR="001F288E" w:rsidRDefault="001F288E" w:rsidP="007A341F">
      <w:pPr>
        <w:spacing w:before="120" w:after="120"/>
        <w:jc w:val="both"/>
        <w:rPr>
          <w:rFonts w:ascii="Verdana" w:hAnsi="Verdana"/>
        </w:rPr>
      </w:pPr>
    </w:p>
    <w:p w:rsidR="001F288E" w:rsidRDefault="001F288E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On: </w:t>
      </w:r>
      <w:r w:rsidR="004E52C2">
        <w:rPr>
          <w:rFonts w:ascii="Verdana" w:hAnsi="Verdana"/>
        </w:rPr>
        <w:t>9</w:t>
      </w:r>
      <w:r w:rsidR="004E52C2" w:rsidRPr="004E52C2">
        <w:rPr>
          <w:rFonts w:ascii="Verdana" w:hAnsi="Verdana"/>
          <w:vertAlign w:val="superscript"/>
        </w:rPr>
        <w:t>th</w:t>
      </w:r>
      <w:r w:rsidR="004E52C2">
        <w:rPr>
          <w:rFonts w:ascii="Verdana" w:hAnsi="Verdana"/>
        </w:rPr>
        <w:t xml:space="preserve"> December 2016</w:t>
      </w:r>
    </w:p>
    <w:p w:rsidR="001F288E" w:rsidRDefault="001F28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F288E" w:rsidRPr="00866127" w:rsidRDefault="002E7716" w:rsidP="00866127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lastRenderedPageBreak/>
        <w:t xml:space="preserve">Multi Academy Trust </w:t>
      </w:r>
      <w:r w:rsidR="00866127" w:rsidRPr="00866127">
        <w:rPr>
          <w:rFonts w:ascii="Verdana" w:hAnsi="Verdana"/>
          <w:b/>
          <w:color w:val="4F81BD" w:themeColor="accent1"/>
          <w:sz w:val="28"/>
        </w:rPr>
        <w:t>Responsibilities</w:t>
      </w:r>
    </w:p>
    <w:p w:rsidR="00866127" w:rsidRDefault="00866127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is recognised that individuals and groups of individuals have responsibilities for health safety and </w:t>
      </w:r>
      <w:r w:rsidR="00B952A1">
        <w:rPr>
          <w:rFonts w:ascii="Verdana" w:hAnsi="Verdana"/>
        </w:rPr>
        <w:t>welfare</w:t>
      </w:r>
      <w:r>
        <w:rPr>
          <w:rFonts w:ascii="Verdana" w:hAnsi="Verdana"/>
        </w:rPr>
        <w:t xml:space="preserve"> in the </w:t>
      </w:r>
      <w:r w:rsidR="0001339D">
        <w:rPr>
          <w:rFonts w:ascii="Verdana" w:hAnsi="Verdana"/>
        </w:rPr>
        <w:t>Multi Academy Trust (MAT)</w:t>
      </w:r>
      <w:r>
        <w:rPr>
          <w:rFonts w:ascii="Verdana" w:hAnsi="Verdana"/>
        </w:rPr>
        <w:t xml:space="preserve">.  The individuals and groups identified below are expected to have read and understood the </w:t>
      </w:r>
      <w:r w:rsidR="002E7716">
        <w:rPr>
          <w:rFonts w:ascii="Verdana" w:hAnsi="Verdana"/>
        </w:rPr>
        <w:t>MAT</w:t>
      </w:r>
      <w:r>
        <w:rPr>
          <w:rFonts w:ascii="Verdana" w:hAnsi="Verdana"/>
        </w:rPr>
        <w:t xml:space="preserve">’s policies and procedures for ensuring health safety and </w:t>
      </w:r>
      <w:r w:rsidR="00B952A1">
        <w:rPr>
          <w:rFonts w:ascii="Verdana" w:hAnsi="Verdana"/>
        </w:rPr>
        <w:t>welfare</w:t>
      </w:r>
      <w:r>
        <w:rPr>
          <w:rFonts w:ascii="Verdana" w:hAnsi="Verdana"/>
        </w:rPr>
        <w:t xml:space="preserve"> and to conduct their duties in accordance with them.</w:t>
      </w:r>
    </w:p>
    <w:p w:rsidR="001E0751" w:rsidRDefault="001E0751" w:rsidP="007A341F">
      <w:pPr>
        <w:spacing w:before="120" w:after="120"/>
        <w:jc w:val="both"/>
        <w:rPr>
          <w:rFonts w:ascii="Verdana" w:hAnsi="Verdana"/>
        </w:rPr>
      </w:pPr>
    </w:p>
    <w:p w:rsidR="00866127" w:rsidRPr="001E0751" w:rsidRDefault="00866127" w:rsidP="007A341F">
      <w:pPr>
        <w:spacing w:before="120" w:after="120"/>
        <w:jc w:val="both"/>
        <w:rPr>
          <w:rFonts w:ascii="Verdana" w:hAnsi="Verdana"/>
          <w:b/>
          <w:sz w:val="20"/>
        </w:rPr>
      </w:pPr>
      <w:r w:rsidRPr="001E0751">
        <w:rPr>
          <w:rFonts w:ascii="Verdana" w:hAnsi="Verdana"/>
          <w:b/>
          <w:sz w:val="20"/>
        </w:rPr>
        <w:t>The employer</w:t>
      </w:r>
    </w:p>
    <w:p w:rsidR="00866127" w:rsidRPr="001E0751" w:rsidRDefault="00866127" w:rsidP="007A341F">
      <w:pPr>
        <w:spacing w:before="120" w:after="120"/>
        <w:jc w:val="both"/>
        <w:rPr>
          <w:rFonts w:ascii="Verdana" w:hAnsi="Verdana"/>
          <w:sz w:val="20"/>
        </w:rPr>
      </w:pPr>
      <w:r w:rsidRPr="001E0751">
        <w:rPr>
          <w:rFonts w:ascii="Verdana" w:hAnsi="Verdana"/>
          <w:sz w:val="20"/>
        </w:rPr>
        <w:t xml:space="preserve">The employer in this </w:t>
      </w:r>
      <w:r w:rsidR="0001339D">
        <w:rPr>
          <w:rFonts w:ascii="Verdana" w:hAnsi="Verdana"/>
          <w:sz w:val="20"/>
        </w:rPr>
        <w:t>MAT</w:t>
      </w:r>
      <w:r w:rsidRPr="001E0751">
        <w:rPr>
          <w:rFonts w:ascii="Verdana" w:hAnsi="Verdana"/>
          <w:sz w:val="20"/>
        </w:rPr>
        <w:t xml:space="preserve"> is </w:t>
      </w:r>
      <w:r w:rsidR="0001339D" w:rsidRPr="0001339D">
        <w:rPr>
          <w:rFonts w:ascii="Verdana" w:hAnsi="Verdana"/>
          <w:sz w:val="20"/>
        </w:rPr>
        <w:t>The Academy Trust</w:t>
      </w:r>
      <w:r w:rsidR="0001339D">
        <w:rPr>
          <w:rFonts w:ascii="Verdana" w:hAnsi="Verdana"/>
          <w:sz w:val="20"/>
        </w:rPr>
        <w:t>.</w:t>
      </w:r>
      <w:r w:rsidRPr="001E0751">
        <w:rPr>
          <w:rFonts w:ascii="Verdana" w:hAnsi="Verdana"/>
          <w:sz w:val="20"/>
        </w:rPr>
        <w:t xml:space="preserve">  The employer has the ultimate responsibility and must ensure that </w:t>
      </w:r>
      <w:r w:rsidR="001E0751" w:rsidRPr="001E0751">
        <w:rPr>
          <w:rFonts w:ascii="Verdana" w:hAnsi="Verdana"/>
          <w:sz w:val="20"/>
        </w:rPr>
        <w:t xml:space="preserve">there are arrangements in place for the health safety and </w:t>
      </w:r>
      <w:r w:rsidR="00B952A1">
        <w:rPr>
          <w:rFonts w:ascii="Verdana" w:hAnsi="Verdana"/>
          <w:sz w:val="20"/>
        </w:rPr>
        <w:t>welfare</w:t>
      </w:r>
      <w:r w:rsidR="001E0751" w:rsidRPr="001E0751">
        <w:rPr>
          <w:rFonts w:ascii="Verdana" w:hAnsi="Verdana"/>
          <w:sz w:val="20"/>
        </w:rPr>
        <w:t xml:space="preserve"> of students, staff, visitors and contractors.</w:t>
      </w:r>
    </w:p>
    <w:p w:rsidR="001E0751" w:rsidRDefault="001E0751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01339D" w:rsidRDefault="0001339D" w:rsidP="007A341F">
      <w:pPr>
        <w:spacing w:before="120"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Board of Trustees</w:t>
      </w:r>
    </w:p>
    <w:p w:rsidR="0001339D" w:rsidRDefault="0001339D" w:rsidP="0001339D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Trustees are responsible for ensuring that mechanisms and procedures are in place for health safety and welfare.  The </w:t>
      </w:r>
      <w:r w:rsidR="002E7716">
        <w:rPr>
          <w:rFonts w:ascii="Verdana" w:hAnsi="Verdana"/>
          <w:sz w:val="20"/>
        </w:rPr>
        <w:t>trustees</w:t>
      </w:r>
      <w:r>
        <w:rPr>
          <w:rFonts w:ascii="Verdana" w:hAnsi="Verdana"/>
          <w:sz w:val="20"/>
        </w:rPr>
        <w:t xml:space="preserve"> will receive regular reports to enable them, in collaboration with the Governors and </w:t>
      </w:r>
      <w:r w:rsidR="00595060">
        <w:rPr>
          <w:rFonts w:ascii="Verdana" w:hAnsi="Verdana"/>
          <w:sz w:val="20"/>
        </w:rPr>
        <w:t>Head</w:t>
      </w:r>
      <w:r w:rsidRPr="00595060">
        <w:rPr>
          <w:rFonts w:ascii="Verdana" w:hAnsi="Verdana"/>
          <w:sz w:val="20"/>
        </w:rPr>
        <w:t>/Principal,</w:t>
      </w:r>
      <w:r>
        <w:rPr>
          <w:rFonts w:ascii="Verdana" w:hAnsi="Verdana"/>
          <w:sz w:val="20"/>
        </w:rPr>
        <w:t xml:space="preserve"> to prioritise resources for health safety and welfare issues.</w:t>
      </w:r>
    </w:p>
    <w:p w:rsidR="00EE57AF" w:rsidRDefault="00EE57AF" w:rsidP="0001339D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Board of Trustees have appointed </w:t>
      </w:r>
      <w:r w:rsidR="00595060">
        <w:rPr>
          <w:rFonts w:ascii="Verdana" w:hAnsi="Verdana"/>
          <w:sz w:val="20"/>
        </w:rPr>
        <w:t>the Business Manager</w:t>
      </w:r>
      <w:r>
        <w:rPr>
          <w:rFonts w:ascii="Verdana" w:hAnsi="Verdana"/>
          <w:sz w:val="20"/>
        </w:rPr>
        <w:t xml:space="preserve"> to oversee the management of health and safety across the MAT.</w:t>
      </w:r>
    </w:p>
    <w:p w:rsidR="009A767F" w:rsidRDefault="009A767F" w:rsidP="0001339D">
      <w:pPr>
        <w:spacing w:before="120" w:after="120"/>
        <w:jc w:val="both"/>
        <w:rPr>
          <w:rFonts w:ascii="Verdana" w:hAnsi="Verdana"/>
          <w:sz w:val="20"/>
        </w:rPr>
      </w:pPr>
    </w:p>
    <w:p w:rsidR="009A767F" w:rsidRPr="001E0751" w:rsidRDefault="009A767F" w:rsidP="009A767F">
      <w:pPr>
        <w:spacing w:before="120" w:after="120"/>
        <w:jc w:val="both"/>
        <w:rPr>
          <w:rFonts w:ascii="Verdana" w:hAnsi="Verdana"/>
          <w:b/>
          <w:sz w:val="20"/>
        </w:rPr>
      </w:pPr>
      <w:r w:rsidRPr="009A767F">
        <w:rPr>
          <w:rFonts w:ascii="Verdana" w:hAnsi="Verdana"/>
          <w:b/>
          <w:sz w:val="20"/>
        </w:rPr>
        <w:t>Principal</w:t>
      </w:r>
    </w:p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9A767F">
        <w:rPr>
          <w:rFonts w:ascii="Verdana" w:hAnsi="Verdana"/>
          <w:sz w:val="20"/>
        </w:rPr>
        <w:t>Principal</w:t>
      </w:r>
      <w:r>
        <w:rPr>
          <w:rFonts w:ascii="Verdana" w:hAnsi="Verdana"/>
          <w:sz w:val="20"/>
        </w:rPr>
        <w:t xml:space="preserve"> has responsibility for:-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Day-to-day management of all health safety and welfare matters in the MAT in accordance with the Statement of Safety Policy;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regular health safety and welfare inspections are carried out;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Submitting regular health safety and welfare reports to the employer;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action is taken on health safety and welfare issues;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Passing on information received on health safety and welfare matters to appropriate people;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Carrying out accident investigations;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Chairing the MAT Health and Safety Committee;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Identifying and facilitating employee training needs;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Liaising with governors and the employer on policy issues and any problems in implementing the Safety Policy;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Co-operating with and providing necessary facilities for trades union safety representatives;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Providing necessary facilities for all employees to be consulted on health safety and welfare matters;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any contractor appointed to deliver services or carry out work is competent to do so;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Monitoring contractors to ensure that the Health and Safety Policy is complied with;</w:t>
      </w:r>
    </w:p>
    <w:p w:rsidR="009A767F" w:rsidRPr="008F4DDA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action where any contractor is found to be working in a manner which is considered to be unsafe.</w:t>
      </w:r>
    </w:p>
    <w:p w:rsidR="009A767F" w:rsidRPr="00EE57A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Whilst responsibility for the above cannot be delegated, the function of carrying out these tasks can be delegated to other members of staff.  </w:t>
      </w:r>
      <w:r w:rsidRPr="00EE57AF">
        <w:rPr>
          <w:rFonts w:ascii="Verdana" w:hAnsi="Verdana"/>
          <w:sz w:val="20"/>
        </w:rPr>
        <w:t>In this MAT the following functions have been delegated to:-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4151"/>
      </w:tblGrid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595060">
              <w:rPr>
                <w:rFonts w:ascii="Verdana" w:hAnsi="Verdana"/>
                <w:b/>
                <w:sz w:val="20"/>
              </w:rPr>
              <w:t>Function</w:t>
            </w:r>
          </w:p>
        </w:tc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595060">
              <w:rPr>
                <w:rFonts w:ascii="Verdana" w:hAnsi="Verdana"/>
                <w:b/>
                <w:sz w:val="20"/>
              </w:rPr>
              <w:t>Delegated to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Day to day health safety and welfare management</w:t>
            </w:r>
          </w:p>
        </w:tc>
        <w:tc>
          <w:tcPr>
            <w:tcW w:w="4261" w:type="dxa"/>
          </w:tcPr>
          <w:p w:rsidR="009A767F" w:rsidRPr="00595060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Heads 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Regular inspections</w:t>
            </w:r>
          </w:p>
        </w:tc>
        <w:tc>
          <w:tcPr>
            <w:tcW w:w="4261" w:type="dxa"/>
          </w:tcPr>
          <w:p w:rsid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   Daily - Heads,</w:t>
            </w:r>
          </w:p>
          <w:p w:rsid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B23C39">
              <w:rPr>
                <w:rFonts w:ascii="Verdana" w:hAnsi="Verdana"/>
                <w:sz w:val="20"/>
              </w:rPr>
              <w:t xml:space="preserve">      </w:t>
            </w:r>
            <w:r>
              <w:rPr>
                <w:rFonts w:ascii="Verdana" w:hAnsi="Verdana"/>
                <w:sz w:val="20"/>
              </w:rPr>
              <w:t xml:space="preserve">    Weekly - Trust Site Supervisor</w:t>
            </w:r>
          </w:p>
          <w:p w:rsidR="009A767F" w:rsidRP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Termly - Business Manager </w:t>
            </w:r>
          </w:p>
        </w:tc>
      </w:tr>
      <w:tr w:rsidR="009A767F" w:rsidRPr="00595060" w:rsidTr="0088492B">
        <w:tc>
          <w:tcPr>
            <w:tcW w:w="4261" w:type="dxa"/>
          </w:tcPr>
          <w:p w:rsidR="00595060" w:rsidRDefault="00595060" w:rsidP="0088492B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595060" w:rsidRDefault="00595060" w:rsidP="0088492B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9A767F" w:rsidRPr="00595060" w:rsidRDefault="009A767F" w:rsidP="00595060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Accident Investigation</w:t>
            </w:r>
            <w:r w:rsidR="00595060">
              <w:rPr>
                <w:rFonts w:ascii="Verdana" w:hAnsi="Verdana"/>
                <w:sz w:val="20"/>
              </w:rPr>
              <w:t xml:space="preserve">                                                         </w:t>
            </w:r>
          </w:p>
        </w:tc>
        <w:tc>
          <w:tcPr>
            <w:tcW w:w="4261" w:type="dxa"/>
          </w:tcPr>
          <w:p w:rsidR="00595060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595060" w:rsidRPr="00595060" w:rsidRDefault="00595060" w:rsidP="00595060">
            <w:pPr>
              <w:rPr>
                <w:rFonts w:ascii="Verdana" w:hAnsi="Verdana"/>
                <w:sz w:val="20"/>
              </w:rPr>
            </w:pPr>
          </w:p>
          <w:p w:rsidR="00595060" w:rsidRDefault="00595060" w:rsidP="005950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Heads</w:t>
            </w:r>
          </w:p>
          <w:p w:rsidR="009A767F" w:rsidRPr="00595060" w:rsidRDefault="009A767F" w:rsidP="00595060">
            <w:pPr>
              <w:rPr>
                <w:rFonts w:ascii="Verdana" w:hAnsi="Verdana"/>
                <w:sz w:val="20"/>
              </w:rPr>
            </w:pP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Chairing Health and Safety Committees</w:t>
            </w:r>
            <w:r w:rsidR="00595060">
              <w:rPr>
                <w:rFonts w:ascii="Verdana" w:hAnsi="Verdana"/>
                <w:sz w:val="20"/>
              </w:rPr>
              <w:t xml:space="preserve">                     </w:t>
            </w:r>
          </w:p>
        </w:tc>
        <w:tc>
          <w:tcPr>
            <w:tcW w:w="4261" w:type="dxa"/>
          </w:tcPr>
          <w:p w:rsidR="009A767F" w:rsidRPr="00595060" w:rsidRDefault="00595060" w:rsidP="00A52C97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A52C97">
              <w:rPr>
                <w:rFonts w:ascii="Verdana" w:hAnsi="Verdana"/>
                <w:sz w:val="20"/>
              </w:rPr>
              <w:t xml:space="preserve">               Rev David Michael </w:t>
            </w:r>
            <w:r>
              <w:rPr>
                <w:rFonts w:ascii="Verdana" w:hAnsi="Verdana"/>
                <w:sz w:val="20"/>
              </w:rPr>
              <w:t xml:space="preserve">            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Employee training needs</w:t>
            </w:r>
          </w:p>
        </w:tc>
        <w:tc>
          <w:tcPr>
            <w:tcW w:w="4261" w:type="dxa"/>
          </w:tcPr>
          <w:p w:rsidR="009A767F" w:rsidRPr="00595060" w:rsidRDefault="00595060" w:rsidP="00B23C39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Business Manager/HR Officer </w:t>
            </w:r>
          </w:p>
        </w:tc>
      </w:tr>
      <w:tr w:rsidR="009A767F" w:rsidTr="0088492B">
        <w:tc>
          <w:tcPr>
            <w:tcW w:w="4261" w:type="dxa"/>
          </w:tcPr>
          <w:p w:rsidR="009A767F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lastRenderedPageBreak/>
              <w:t>Contractor management</w:t>
            </w:r>
          </w:p>
        </w:tc>
        <w:tc>
          <w:tcPr>
            <w:tcW w:w="4261" w:type="dxa"/>
          </w:tcPr>
          <w:p w:rsidR="009A767F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Business Manager</w:t>
            </w:r>
          </w:p>
        </w:tc>
      </w:tr>
    </w:tbl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</w:p>
    <w:p w:rsidR="009A767F" w:rsidRDefault="009A767F" w:rsidP="009A767F">
      <w:pPr>
        <w:spacing w:before="120"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Competent Health and Safety Advice</w:t>
      </w:r>
    </w:p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MAT recognises that it must have access to competent health and safety advice.  The MAT’s competent advisors are</w:t>
      </w:r>
    </w:p>
    <w:p w:rsidR="009A767F" w:rsidRDefault="009A767F" w:rsidP="009A767F">
      <w:pPr>
        <w:spacing w:before="120" w:after="120"/>
        <w:jc w:val="center"/>
        <w:rPr>
          <w:rFonts w:ascii="Verdana" w:hAnsi="Verdana"/>
          <w:sz w:val="20"/>
        </w:rPr>
      </w:pPr>
      <w:r w:rsidRPr="00595060">
        <w:rPr>
          <w:rFonts w:ascii="Verdana" w:hAnsi="Verdana"/>
          <w:sz w:val="20"/>
        </w:rPr>
        <w:t>The Health, Safety and Wellbeing Services Team, Cornwall Council</w:t>
      </w:r>
    </w:p>
    <w:p w:rsidR="0001339D" w:rsidRDefault="0001339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9A767F" w:rsidRDefault="009A767F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Pr="0001339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sectPr w:rsidR="00BE1D2D" w:rsidRPr="0001339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13" w:rsidRDefault="009F7913" w:rsidP="005B677A">
      <w:r>
        <w:separator/>
      </w:r>
    </w:p>
  </w:endnote>
  <w:endnote w:type="continuationSeparator" w:id="0">
    <w:p w:rsidR="009F7913" w:rsidRDefault="009F7913" w:rsidP="005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81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205" w:rsidRDefault="000E0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1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7716" w:rsidRDefault="002E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13" w:rsidRDefault="009F7913" w:rsidP="005B677A">
      <w:r>
        <w:separator/>
      </w:r>
    </w:p>
  </w:footnote>
  <w:footnote w:type="continuationSeparator" w:id="0">
    <w:p w:rsidR="009F7913" w:rsidRDefault="009F7913" w:rsidP="005B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2F9"/>
    <w:multiLevelType w:val="hybridMultilevel"/>
    <w:tmpl w:val="E550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BCB"/>
    <w:multiLevelType w:val="hybridMultilevel"/>
    <w:tmpl w:val="3080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9F0"/>
    <w:multiLevelType w:val="hybridMultilevel"/>
    <w:tmpl w:val="9578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DB0"/>
    <w:multiLevelType w:val="hybridMultilevel"/>
    <w:tmpl w:val="18BA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BD1"/>
    <w:multiLevelType w:val="hybridMultilevel"/>
    <w:tmpl w:val="65EA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0043"/>
    <w:multiLevelType w:val="hybridMultilevel"/>
    <w:tmpl w:val="83D0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629B"/>
    <w:multiLevelType w:val="hybridMultilevel"/>
    <w:tmpl w:val="226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5247"/>
    <w:multiLevelType w:val="hybridMultilevel"/>
    <w:tmpl w:val="506C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57E1"/>
    <w:multiLevelType w:val="hybridMultilevel"/>
    <w:tmpl w:val="1AF8DD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9867934"/>
    <w:multiLevelType w:val="hybridMultilevel"/>
    <w:tmpl w:val="1FF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2737"/>
    <w:multiLevelType w:val="hybridMultilevel"/>
    <w:tmpl w:val="2E247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73A36"/>
    <w:multiLevelType w:val="hybridMultilevel"/>
    <w:tmpl w:val="F108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20B"/>
    <w:multiLevelType w:val="hybridMultilevel"/>
    <w:tmpl w:val="344A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A9E"/>
    <w:multiLevelType w:val="hybridMultilevel"/>
    <w:tmpl w:val="0FA6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33FD8"/>
    <w:multiLevelType w:val="hybridMultilevel"/>
    <w:tmpl w:val="E27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1E93"/>
    <w:multiLevelType w:val="hybridMultilevel"/>
    <w:tmpl w:val="53680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1A40"/>
    <w:multiLevelType w:val="hybridMultilevel"/>
    <w:tmpl w:val="A0F6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7DD"/>
    <w:multiLevelType w:val="hybridMultilevel"/>
    <w:tmpl w:val="A04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2BE"/>
    <w:multiLevelType w:val="hybridMultilevel"/>
    <w:tmpl w:val="0FCA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083B"/>
    <w:multiLevelType w:val="hybridMultilevel"/>
    <w:tmpl w:val="E4A6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7B3B"/>
    <w:multiLevelType w:val="hybridMultilevel"/>
    <w:tmpl w:val="4914E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18"/>
  </w:num>
  <w:num w:numId="6">
    <w:abstractNumId w:val="20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1"/>
  </w:num>
  <w:num w:numId="18">
    <w:abstractNumId w:val="0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CC"/>
    <w:rsid w:val="00007DBC"/>
    <w:rsid w:val="0001339D"/>
    <w:rsid w:val="00025C90"/>
    <w:rsid w:val="00083130"/>
    <w:rsid w:val="000B4EF8"/>
    <w:rsid w:val="000E0205"/>
    <w:rsid w:val="000E6A00"/>
    <w:rsid w:val="000F435F"/>
    <w:rsid w:val="00115791"/>
    <w:rsid w:val="001367DC"/>
    <w:rsid w:val="00176D22"/>
    <w:rsid w:val="00180A7B"/>
    <w:rsid w:val="00197FD2"/>
    <w:rsid w:val="001A342F"/>
    <w:rsid w:val="001E0751"/>
    <w:rsid w:val="001E71EB"/>
    <w:rsid w:val="001F288E"/>
    <w:rsid w:val="00215B9E"/>
    <w:rsid w:val="00247652"/>
    <w:rsid w:val="00296542"/>
    <w:rsid w:val="002B3E8A"/>
    <w:rsid w:val="002E1E08"/>
    <w:rsid w:val="002E7716"/>
    <w:rsid w:val="0033354C"/>
    <w:rsid w:val="003534FD"/>
    <w:rsid w:val="00380621"/>
    <w:rsid w:val="003877A2"/>
    <w:rsid w:val="003B1E09"/>
    <w:rsid w:val="00414B8B"/>
    <w:rsid w:val="0043765A"/>
    <w:rsid w:val="004568B2"/>
    <w:rsid w:val="00483AD4"/>
    <w:rsid w:val="004B39CD"/>
    <w:rsid w:val="004B566F"/>
    <w:rsid w:val="004B602E"/>
    <w:rsid w:val="004E02BE"/>
    <w:rsid w:val="004E52C2"/>
    <w:rsid w:val="00500E50"/>
    <w:rsid w:val="00514839"/>
    <w:rsid w:val="005219A3"/>
    <w:rsid w:val="00530867"/>
    <w:rsid w:val="00590545"/>
    <w:rsid w:val="00595060"/>
    <w:rsid w:val="005B677A"/>
    <w:rsid w:val="005F4C65"/>
    <w:rsid w:val="0066417F"/>
    <w:rsid w:val="006C0BC8"/>
    <w:rsid w:val="006F180F"/>
    <w:rsid w:val="006F6467"/>
    <w:rsid w:val="00700311"/>
    <w:rsid w:val="00712E75"/>
    <w:rsid w:val="00732422"/>
    <w:rsid w:val="007A341F"/>
    <w:rsid w:val="007E4E41"/>
    <w:rsid w:val="007F552A"/>
    <w:rsid w:val="00806D2D"/>
    <w:rsid w:val="008438F3"/>
    <w:rsid w:val="00866127"/>
    <w:rsid w:val="00874DCA"/>
    <w:rsid w:val="00883281"/>
    <w:rsid w:val="00885BC7"/>
    <w:rsid w:val="008925F1"/>
    <w:rsid w:val="008B6755"/>
    <w:rsid w:val="008F4DDA"/>
    <w:rsid w:val="00941EDA"/>
    <w:rsid w:val="00944619"/>
    <w:rsid w:val="009A767F"/>
    <w:rsid w:val="009B393F"/>
    <w:rsid w:val="009B3F25"/>
    <w:rsid w:val="009D5C15"/>
    <w:rsid w:val="009F7913"/>
    <w:rsid w:val="00A02747"/>
    <w:rsid w:val="00A035AE"/>
    <w:rsid w:val="00A04E28"/>
    <w:rsid w:val="00A16CEE"/>
    <w:rsid w:val="00A32A31"/>
    <w:rsid w:val="00A52C97"/>
    <w:rsid w:val="00A54311"/>
    <w:rsid w:val="00AC4764"/>
    <w:rsid w:val="00AD47E7"/>
    <w:rsid w:val="00AE0308"/>
    <w:rsid w:val="00B0493D"/>
    <w:rsid w:val="00B23C39"/>
    <w:rsid w:val="00B27F1E"/>
    <w:rsid w:val="00B45051"/>
    <w:rsid w:val="00B952A1"/>
    <w:rsid w:val="00BB3BFA"/>
    <w:rsid w:val="00BE1D2D"/>
    <w:rsid w:val="00C31B78"/>
    <w:rsid w:val="00C53E9E"/>
    <w:rsid w:val="00C64962"/>
    <w:rsid w:val="00C92998"/>
    <w:rsid w:val="00CA0203"/>
    <w:rsid w:val="00CD220E"/>
    <w:rsid w:val="00D12E40"/>
    <w:rsid w:val="00D32A2A"/>
    <w:rsid w:val="00D362D1"/>
    <w:rsid w:val="00D610CC"/>
    <w:rsid w:val="00D86BDC"/>
    <w:rsid w:val="00DA02AB"/>
    <w:rsid w:val="00DF2DD2"/>
    <w:rsid w:val="00DF604F"/>
    <w:rsid w:val="00DF6CF5"/>
    <w:rsid w:val="00E235C6"/>
    <w:rsid w:val="00E3145A"/>
    <w:rsid w:val="00E4572A"/>
    <w:rsid w:val="00E52739"/>
    <w:rsid w:val="00E77887"/>
    <w:rsid w:val="00EB18D1"/>
    <w:rsid w:val="00EB2085"/>
    <w:rsid w:val="00EC3C49"/>
    <w:rsid w:val="00ED0C2D"/>
    <w:rsid w:val="00EE57AF"/>
    <w:rsid w:val="00F06155"/>
    <w:rsid w:val="00F07358"/>
    <w:rsid w:val="00F451EA"/>
    <w:rsid w:val="00F53345"/>
    <w:rsid w:val="00F65B9B"/>
    <w:rsid w:val="00F9576C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168B15-47EE-4198-88DA-1BCA0F3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CC"/>
    <w:pPr>
      <w:ind w:left="720"/>
      <w:contextualSpacing/>
    </w:pPr>
  </w:style>
  <w:style w:type="table" w:styleId="TableGrid">
    <w:name w:val="Table Grid"/>
    <w:basedOn w:val="TableNormal"/>
    <w:rsid w:val="001F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6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677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5B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7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12E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95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0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0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Rundle</dc:creator>
  <cp:lastModifiedBy>Lisa</cp:lastModifiedBy>
  <cp:revision>2</cp:revision>
  <dcterms:created xsi:type="dcterms:W3CDTF">2016-12-13T09:54:00Z</dcterms:created>
  <dcterms:modified xsi:type="dcterms:W3CDTF">2016-12-13T09:54:00Z</dcterms:modified>
</cp:coreProperties>
</file>