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 xml:space="preserve">St </w:t>
      </w:r>
      <w:proofErr w:type="spellStart"/>
      <w:r w:rsidRPr="007048E8">
        <w:rPr>
          <w:b/>
          <w:sz w:val="32"/>
          <w:szCs w:val="32"/>
        </w:rPr>
        <w:t>Piran’s</w:t>
      </w:r>
      <w:proofErr w:type="spellEnd"/>
      <w:r w:rsidRPr="007048E8">
        <w:rPr>
          <w:b/>
          <w:sz w:val="32"/>
          <w:szCs w:val="32"/>
        </w:rPr>
        <w:t xml:space="preserve">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D62917">
        <w:rPr>
          <w:b/>
          <w:sz w:val="32"/>
          <w:szCs w:val="32"/>
        </w:rPr>
        <w:t>Veryan</w:t>
      </w:r>
    </w:p>
    <w:p w:rsidR="005B054F" w:rsidRDefault="005E1FBE">
      <w:pPr>
        <w:rPr>
          <w:b/>
          <w:sz w:val="32"/>
          <w:szCs w:val="32"/>
        </w:rPr>
      </w:pPr>
      <w:r w:rsidRPr="005E1FBE">
        <w:rPr>
          <w:b/>
          <w:sz w:val="32"/>
          <w:szCs w:val="32"/>
        </w:rPr>
        <w:t xml:space="preserve">Predicted Spent </w:t>
      </w:r>
      <w:r w:rsidR="005B054F" w:rsidRPr="005E1FBE">
        <w:rPr>
          <w:b/>
          <w:sz w:val="32"/>
          <w:szCs w:val="32"/>
        </w:rPr>
        <w:t>Report</w:t>
      </w:r>
      <w:r w:rsidR="005B054F" w:rsidRPr="007048E8">
        <w:rPr>
          <w:b/>
          <w:sz w:val="32"/>
          <w:szCs w:val="32"/>
        </w:rPr>
        <w:t xml:space="preserve"> </w:t>
      </w:r>
      <w:r>
        <w:rPr>
          <w:b/>
          <w:sz w:val="32"/>
          <w:szCs w:val="32"/>
        </w:rPr>
        <w:t xml:space="preserve">for </w:t>
      </w:r>
      <w:r w:rsidR="00540F09">
        <w:rPr>
          <w:b/>
          <w:sz w:val="32"/>
          <w:szCs w:val="32"/>
        </w:rPr>
        <w:t xml:space="preserve">Period </w:t>
      </w:r>
      <w:r w:rsidR="00E24F97">
        <w:rPr>
          <w:b/>
          <w:sz w:val="32"/>
          <w:szCs w:val="32"/>
        </w:rPr>
        <w:t>1</w:t>
      </w:r>
      <w:r w:rsidR="00E24F97" w:rsidRPr="00E24F97">
        <w:rPr>
          <w:b/>
          <w:sz w:val="32"/>
          <w:szCs w:val="32"/>
          <w:vertAlign w:val="superscript"/>
        </w:rPr>
        <w:t>st</w:t>
      </w:r>
      <w:r w:rsidR="00E24F97">
        <w:rPr>
          <w:b/>
          <w:sz w:val="32"/>
          <w:szCs w:val="32"/>
        </w:rPr>
        <w:t xml:space="preserve"> </w:t>
      </w:r>
      <w:r w:rsidR="00F165FC">
        <w:rPr>
          <w:b/>
          <w:sz w:val="32"/>
          <w:szCs w:val="32"/>
        </w:rPr>
        <w:t xml:space="preserve">September </w:t>
      </w:r>
      <w:r w:rsidR="00E24F97">
        <w:rPr>
          <w:b/>
          <w:sz w:val="32"/>
          <w:szCs w:val="32"/>
        </w:rPr>
        <w:t>201</w:t>
      </w:r>
      <w:r w:rsidR="00F165FC">
        <w:rPr>
          <w:b/>
          <w:sz w:val="32"/>
          <w:szCs w:val="32"/>
        </w:rPr>
        <w:t>5</w:t>
      </w:r>
      <w:r w:rsidR="00E24F97">
        <w:rPr>
          <w:b/>
          <w:sz w:val="32"/>
          <w:szCs w:val="32"/>
        </w:rPr>
        <w:t>- 31</w:t>
      </w:r>
      <w:r w:rsidR="00E24F97" w:rsidRPr="00E24F97">
        <w:rPr>
          <w:b/>
          <w:sz w:val="32"/>
          <w:szCs w:val="32"/>
          <w:vertAlign w:val="superscript"/>
        </w:rPr>
        <w:t>st</w:t>
      </w:r>
      <w:r w:rsidR="00F165FC">
        <w:rPr>
          <w:b/>
          <w:sz w:val="32"/>
          <w:szCs w:val="32"/>
        </w:rPr>
        <w:t xml:space="preserve"> August 2016</w:t>
      </w:r>
    </w:p>
    <w:p w:rsidR="00540F09" w:rsidRPr="00A80E7B" w:rsidRDefault="00C67BF8" w:rsidP="00540F09">
      <w:pPr>
        <w:rPr>
          <w:b/>
          <w:sz w:val="28"/>
          <w:szCs w:val="28"/>
        </w:rPr>
      </w:pPr>
      <w:r w:rsidRPr="00C67BF8">
        <w:rPr>
          <w:b/>
          <w:sz w:val="28"/>
          <w:szCs w:val="28"/>
        </w:rPr>
        <w:t>The funding stated below will be received during the period stated above during the grant period of 2015/2016 and 2016/2017.</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Pr="00A80E7B" w:rsidRDefault="007B6404" w:rsidP="007B6404">
      <w:pPr>
        <w:pStyle w:val="Default"/>
        <w:rPr>
          <w:rFonts w:asciiTheme="minorHAnsi" w:hAnsiTheme="minorHAnsi"/>
        </w:rPr>
      </w:pPr>
    </w:p>
    <w:tbl>
      <w:tblPr>
        <w:tblStyle w:val="TableGrid"/>
        <w:tblW w:w="10632" w:type="dxa"/>
        <w:tblInd w:w="-459" w:type="dxa"/>
        <w:tblLook w:val="04A0" w:firstRow="1" w:lastRow="0" w:firstColumn="1" w:lastColumn="0" w:noHBand="0" w:noVBand="1"/>
      </w:tblPr>
      <w:tblGrid>
        <w:gridCol w:w="3741"/>
        <w:gridCol w:w="1681"/>
        <w:gridCol w:w="541"/>
        <w:gridCol w:w="4669"/>
      </w:tblGrid>
      <w:tr w:rsidR="005B054F" w:rsidTr="00DA026F">
        <w:tc>
          <w:tcPr>
            <w:tcW w:w="10632" w:type="dxa"/>
            <w:gridSpan w:val="4"/>
            <w:shd w:val="clear" w:color="auto" w:fill="D9D9D9" w:themeFill="background1" w:themeFillShade="D9"/>
          </w:tcPr>
          <w:p w:rsidR="00E24F97" w:rsidRDefault="005B054F" w:rsidP="00E24F97">
            <w:pPr>
              <w:jc w:val="center"/>
              <w:rPr>
                <w:sz w:val="32"/>
                <w:szCs w:val="32"/>
              </w:rPr>
            </w:pPr>
            <w:r>
              <w:rPr>
                <w:sz w:val="32"/>
                <w:szCs w:val="32"/>
              </w:rPr>
              <w:t xml:space="preserve">Pupil Premium Grant (PPG) </w:t>
            </w:r>
            <w:r w:rsidR="00F165FC">
              <w:rPr>
                <w:sz w:val="32"/>
                <w:szCs w:val="32"/>
              </w:rPr>
              <w:t>Predicted Budget for the period</w:t>
            </w:r>
            <w:r>
              <w:rPr>
                <w:sz w:val="32"/>
                <w:szCs w:val="32"/>
              </w:rPr>
              <w:t xml:space="preserve"> </w:t>
            </w:r>
          </w:p>
          <w:p w:rsidR="005B054F" w:rsidRDefault="00E24F97" w:rsidP="00F165FC">
            <w:pPr>
              <w:jc w:val="center"/>
              <w:rPr>
                <w:sz w:val="32"/>
                <w:szCs w:val="32"/>
              </w:rPr>
            </w:pPr>
            <w:r>
              <w:rPr>
                <w:sz w:val="32"/>
                <w:szCs w:val="32"/>
              </w:rPr>
              <w:t>1</w:t>
            </w:r>
            <w:r w:rsidRPr="00E24F97">
              <w:rPr>
                <w:sz w:val="32"/>
                <w:szCs w:val="32"/>
                <w:vertAlign w:val="superscript"/>
              </w:rPr>
              <w:t>st</w:t>
            </w:r>
            <w:r>
              <w:rPr>
                <w:sz w:val="32"/>
                <w:szCs w:val="32"/>
              </w:rPr>
              <w:t xml:space="preserve"> </w:t>
            </w:r>
            <w:r w:rsidR="00F165FC">
              <w:rPr>
                <w:sz w:val="32"/>
                <w:szCs w:val="32"/>
              </w:rPr>
              <w:t xml:space="preserve">September 2015 </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Pr>
                <w:sz w:val="32"/>
                <w:szCs w:val="32"/>
              </w:rPr>
              <w:t>1</w:t>
            </w:r>
            <w:r w:rsidR="00F165FC">
              <w:rPr>
                <w:sz w:val="32"/>
                <w:szCs w:val="32"/>
              </w:rPr>
              <w:t>6</w:t>
            </w:r>
          </w:p>
        </w:tc>
      </w:tr>
      <w:tr w:rsidR="009D621D" w:rsidTr="00DA026F">
        <w:trPr>
          <w:gridAfter w:val="1"/>
          <w:wAfter w:w="4669" w:type="dxa"/>
        </w:trPr>
        <w:tc>
          <w:tcPr>
            <w:tcW w:w="5422" w:type="dxa"/>
            <w:gridSpan w:val="2"/>
          </w:tcPr>
          <w:p w:rsidR="009D621D" w:rsidRDefault="009D621D" w:rsidP="009D621D">
            <w:pPr>
              <w:rPr>
                <w:sz w:val="32"/>
                <w:szCs w:val="32"/>
              </w:rPr>
            </w:pPr>
            <w:r>
              <w:rPr>
                <w:sz w:val="32"/>
                <w:szCs w:val="32"/>
              </w:rPr>
              <w:t>Funding carried forward from previous period</w:t>
            </w:r>
          </w:p>
        </w:tc>
        <w:tc>
          <w:tcPr>
            <w:tcW w:w="541" w:type="dxa"/>
          </w:tcPr>
          <w:p w:rsidR="009D621D" w:rsidRDefault="009D621D" w:rsidP="006805A5">
            <w:pPr>
              <w:rPr>
                <w:sz w:val="32"/>
                <w:szCs w:val="32"/>
              </w:rPr>
            </w:pPr>
            <w:r>
              <w:rPr>
                <w:sz w:val="32"/>
                <w:szCs w:val="32"/>
              </w:rPr>
              <w:t>£</w:t>
            </w:r>
            <w:r w:rsidR="00F165FC">
              <w:rPr>
                <w:sz w:val="32"/>
                <w:szCs w:val="32"/>
              </w:rPr>
              <w:t>0</w:t>
            </w:r>
          </w:p>
        </w:tc>
      </w:tr>
      <w:tr w:rsidR="005B054F" w:rsidTr="00DA026F">
        <w:tc>
          <w:tcPr>
            <w:tcW w:w="5422" w:type="dxa"/>
            <w:gridSpan w:val="2"/>
          </w:tcPr>
          <w:p w:rsidR="005B054F" w:rsidRDefault="005B054F" w:rsidP="00653D9C">
            <w:pPr>
              <w:rPr>
                <w:sz w:val="32"/>
                <w:szCs w:val="32"/>
              </w:rPr>
            </w:pPr>
            <w:r>
              <w:rPr>
                <w:sz w:val="32"/>
                <w:szCs w:val="32"/>
              </w:rPr>
              <w:t xml:space="preserve">Total </w:t>
            </w:r>
            <w:r w:rsidR="000E7316">
              <w:rPr>
                <w:sz w:val="32"/>
                <w:szCs w:val="32"/>
              </w:rPr>
              <w:t xml:space="preserve">amount of funding </w:t>
            </w:r>
            <w:r w:rsidR="00653D9C">
              <w:rPr>
                <w:sz w:val="32"/>
                <w:szCs w:val="32"/>
              </w:rPr>
              <w:t xml:space="preserve">due to </w:t>
            </w:r>
            <w:r w:rsidR="000E7316">
              <w:rPr>
                <w:sz w:val="32"/>
                <w:szCs w:val="32"/>
              </w:rPr>
              <w:t>receive in th</w:t>
            </w:r>
            <w:r w:rsidR="00105FF9">
              <w:rPr>
                <w:sz w:val="32"/>
                <w:szCs w:val="32"/>
              </w:rPr>
              <w:t>is</w:t>
            </w:r>
            <w:r w:rsidR="000E7316">
              <w:rPr>
                <w:sz w:val="32"/>
                <w:szCs w:val="32"/>
              </w:rPr>
              <w:t xml:space="preserve"> period </w:t>
            </w:r>
          </w:p>
        </w:tc>
        <w:tc>
          <w:tcPr>
            <w:tcW w:w="5210" w:type="dxa"/>
            <w:gridSpan w:val="2"/>
          </w:tcPr>
          <w:p w:rsidR="005B054F" w:rsidRDefault="00653D9C" w:rsidP="006805A5">
            <w:pPr>
              <w:rPr>
                <w:sz w:val="32"/>
                <w:szCs w:val="32"/>
              </w:rPr>
            </w:pPr>
            <w:r>
              <w:rPr>
                <w:sz w:val="32"/>
                <w:szCs w:val="32"/>
              </w:rPr>
              <w:t>£16416</w:t>
            </w:r>
          </w:p>
        </w:tc>
      </w:tr>
      <w:tr w:rsidR="006F53D3" w:rsidTr="00DA026F">
        <w:tc>
          <w:tcPr>
            <w:tcW w:w="5422" w:type="dxa"/>
            <w:gridSpan w:val="2"/>
          </w:tcPr>
          <w:p w:rsidR="006F53D3" w:rsidRPr="000E7316" w:rsidRDefault="006F53D3" w:rsidP="009A3159">
            <w:pPr>
              <w:rPr>
                <w:b/>
                <w:sz w:val="32"/>
                <w:szCs w:val="32"/>
              </w:rPr>
            </w:pPr>
            <w:r>
              <w:rPr>
                <w:b/>
                <w:sz w:val="32"/>
                <w:szCs w:val="32"/>
              </w:rPr>
              <w:t xml:space="preserve">Total amount of funding </w:t>
            </w:r>
            <w:r w:rsidR="00653D9C">
              <w:rPr>
                <w:b/>
                <w:sz w:val="32"/>
                <w:szCs w:val="32"/>
              </w:rPr>
              <w:t xml:space="preserve">due to be </w:t>
            </w:r>
            <w:r>
              <w:rPr>
                <w:b/>
                <w:sz w:val="32"/>
                <w:szCs w:val="32"/>
              </w:rPr>
              <w:t xml:space="preserve">received </w:t>
            </w:r>
          </w:p>
        </w:tc>
        <w:tc>
          <w:tcPr>
            <w:tcW w:w="5210" w:type="dxa"/>
            <w:gridSpan w:val="2"/>
          </w:tcPr>
          <w:p w:rsidR="006F53D3" w:rsidRPr="000E7316" w:rsidRDefault="00653D9C" w:rsidP="006805A5">
            <w:pPr>
              <w:rPr>
                <w:sz w:val="32"/>
                <w:szCs w:val="32"/>
              </w:rPr>
            </w:pPr>
            <w:r>
              <w:rPr>
                <w:sz w:val="32"/>
                <w:szCs w:val="32"/>
              </w:rPr>
              <w:t>£16416</w:t>
            </w:r>
          </w:p>
        </w:tc>
      </w:tr>
      <w:tr w:rsidR="00CF3E50" w:rsidTr="00DA026F">
        <w:tc>
          <w:tcPr>
            <w:tcW w:w="3741" w:type="dxa"/>
            <w:shd w:val="clear" w:color="auto" w:fill="D9D9D9" w:themeFill="background1" w:themeFillShade="D9"/>
          </w:tcPr>
          <w:p w:rsidR="00CF3E50" w:rsidRDefault="00CF3E50" w:rsidP="00653D9C">
            <w:pPr>
              <w:jc w:val="center"/>
              <w:rPr>
                <w:sz w:val="32"/>
                <w:szCs w:val="32"/>
              </w:rPr>
            </w:pPr>
            <w:r>
              <w:rPr>
                <w:sz w:val="32"/>
                <w:szCs w:val="32"/>
              </w:rPr>
              <w:t>Nature of Support 1</w:t>
            </w:r>
            <w:r w:rsidRPr="00E24F97">
              <w:rPr>
                <w:sz w:val="32"/>
                <w:szCs w:val="32"/>
                <w:vertAlign w:val="superscript"/>
              </w:rPr>
              <w:t>st</w:t>
            </w:r>
            <w:r>
              <w:rPr>
                <w:sz w:val="32"/>
                <w:szCs w:val="32"/>
              </w:rPr>
              <w:t xml:space="preserve"> December </w:t>
            </w:r>
            <w:r w:rsidR="009A3159">
              <w:rPr>
                <w:sz w:val="32"/>
                <w:szCs w:val="32"/>
              </w:rPr>
              <w:t>20</w:t>
            </w:r>
            <w:r>
              <w:rPr>
                <w:sz w:val="32"/>
                <w:szCs w:val="32"/>
              </w:rPr>
              <w:t>1</w:t>
            </w:r>
            <w:r w:rsidR="00653D9C">
              <w:rPr>
                <w:sz w:val="32"/>
                <w:szCs w:val="32"/>
              </w:rPr>
              <w:t>5</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Pr>
                <w:sz w:val="32"/>
                <w:szCs w:val="32"/>
              </w:rPr>
              <w:t>1</w:t>
            </w:r>
            <w:r w:rsidR="00653D9C">
              <w:rPr>
                <w:sz w:val="32"/>
                <w:szCs w:val="32"/>
              </w:rPr>
              <w:t>6</w:t>
            </w:r>
            <w:r>
              <w:rPr>
                <w:sz w:val="32"/>
                <w:szCs w:val="32"/>
              </w:rPr>
              <w:t xml:space="preserve"> and allocation of PPG</w:t>
            </w:r>
          </w:p>
        </w:tc>
        <w:tc>
          <w:tcPr>
            <w:tcW w:w="1681" w:type="dxa"/>
            <w:shd w:val="clear" w:color="auto" w:fill="D9D9D9" w:themeFill="background1" w:themeFillShade="D9"/>
          </w:tcPr>
          <w:p w:rsidR="00CF3E50" w:rsidRDefault="00CF3E50" w:rsidP="00E24F97">
            <w:pPr>
              <w:jc w:val="center"/>
              <w:rPr>
                <w:sz w:val="32"/>
                <w:szCs w:val="32"/>
              </w:rPr>
            </w:pPr>
            <w:r>
              <w:rPr>
                <w:sz w:val="32"/>
                <w:szCs w:val="32"/>
              </w:rPr>
              <w:t>Amount</w:t>
            </w:r>
          </w:p>
        </w:tc>
        <w:tc>
          <w:tcPr>
            <w:tcW w:w="5210" w:type="dxa"/>
            <w:gridSpan w:val="2"/>
            <w:shd w:val="clear" w:color="auto" w:fill="D9D9D9" w:themeFill="background1" w:themeFillShade="D9"/>
          </w:tcPr>
          <w:p w:rsidR="00CF3E50" w:rsidRDefault="00CF3E50">
            <w:pPr>
              <w:rPr>
                <w:sz w:val="32"/>
                <w:szCs w:val="32"/>
              </w:rPr>
            </w:pPr>
            <w:r>
              <w:rPr>
                <w:sz w:val="32"/>
                <w:szCs w:val="32"/>
              </w:rPr>
              <w:t>How will the effects of this support be measured?</w:t>
            </w:r>
          </w:p>
        </w:tc>
      </w:tr>
      <w:tr w:rsidR="00566441" w:rsidTr="00DA026F">
        <w:tc>
          <w:tcPr>
            <w:tcW w:w="3741" w:type="dxa"/>
          </w:tcPr>
          <w:p w:rsidR="00566441" w:rsidRDefault="007511DC" w:rsidP="00653D9C">
            <w:pPr>
              <w:rPr>
                <w:sz w:val="32"/>
                <w:szCs w:val="32"/>
              </w:rPr>
            </w:pPr>
            <w:r w:rsidRPr="007511DC">
              <w:rPr>
                <w:sz w:val="32"/>
                <w:szCs w:val="32"/>
              </w:rPr>
              <w:t xml:space="preserve">TAs interventions </w:t>
            </w:r>
            <w:r w:rsidR="00653D9C">
              <w:rPr>
                <w:sz w:val="32"/>
                <w:szCs w:val="32"/>
              </w:rPr>
              <w:t xml:space="preserve">including Breakfast Club </w:t>
            </w:r>
          </w:p>
        </w:tc>
        <w:tc>
          <w:tcPr>
            <w:tcW w:w="1681" w:type="dxa"/>
          </w:tcPr>
          <w:p w:rsidR="00566441" w:rsidRDefault="00684488" w:rsidP="00653D9C">
            <w:pPr>
              <w:rPr>
                <w:sz w:val="32"/>
                <w:szCs w:val="32"/>
              </w:rPr>
            </w:pPr>
            <w:r>
              <w:rPr>
                <w:sz w:val="32"/>
                <w:szCs w:val="32"/>
              </w:rPr>
              <w:t>£</w:t>
            </w:r>
            <w:r w:rsidR="00653D9C">
              <w:rPr>
                <w:sz w:val="32"/>
                <w:szCs w:val="32"/>
              </w:rPr>
              <w:t>14416</w:t>
            </w:r>
          </w:p>
        </w:tc>
        <w:tc>
          <w:tcPr>
            <w:tcW w:w="5210" w:type="dxa"/>
            <w:gridSpan w:val="2"/>
          </w:tcPr>
          <w:p w:rsidR="0003236B" w:rsidRPr="00DA026F" w:rsidRDefault="00DA026F">
            <w:pPr>
              <w:rPr>
                <w:b/>
              </w:rPr>
            </w:pPr>
            <w:r w:rsidRPr="00DA026F">
              <w:rPr>
                <w:b/>
              </w:rPr>
              <w:t>Breakfast Club:</w:t>
            </w:r>
          </w:p>
          <w:p w:rsidR="00DA026F" w:rsidRPr="00DA026F" w:rsidRDefault="00DA026F">
            <w:r w:rsidRPr="00DA026F">
              <w:t xml:space="preserve">3 children attend the breakfast club who are entitled to Pupil premium funding. All of these children have made more than expected progress this academic year in reading, writing and maths. Where the expected progress would be 6 points, the average </w:t>
            </w:r>
            <w:proofErr w:type="gramStart"/>
            <w:r w:rsidRPr="00DA026F">
              <w:t>points</w:t>
            </w:r>
            <w:proofErr w:type="gramEnd"/>
            <w:r w:rsidRPr="00DA026F">
              <w:t xml:space="preserve"> progress for these children is 13, 10.3 and 10.3 for reading, writing and maths respectively. This reflects that these children start the school day with a healthy breakfast in a calm, settled manner ready to start the day’s learning. During breakfast club, homework is supported as well as areas of learning that these children find difficult.</w:t>
            </w:r>
          </w:p>
          <w:p w:rsidR="00DA026F" w:rsidRPr="00DA026F" w:rsidRDefault="00DA026F"/>
          <w:p w:rsidR="00DA026F" w:rsidRPr="00DA026F" w:rsidRDefault="00DA026F">
            <w:pPr>
              <w:rPr>
                <w:b/>
              </w:rPr>
            </w:pPr>
            <w:r w:rsidRPr="00DA026F">
              <w:rPr>
                <w:b/>
              </w:rPr>
              <w:t>TA Intervention:</w:t>
            </w:r>
          </w:p>
          <w:p w:rsidR="00DA026F" w:rsidRDefault="00DA026F">
            <w:r w:rsidRPr="00DA026F">
              <w:t xml:space="preserve"> </w:t>
            </w:r>
            <w:r w:rsidR="005A01C4">
              <w:t>There are children eligible for pupil premium funding in years 2.4, 5 and 6. Progress is as follows in these cohorts:</w:t>
            </w:r>
          </w:p>
          <w:p w:rsidR="005A01C4" w:rsidRDefault="005A01C4"/>
          <w:tbl>
            <w:tblPr>
              <w:tblStyle w:val="TableGrid"/>
              <w:tblW w:w="0" w:type="auto"/>
              <w:tblLook w:val="04A0" w:firstRow="1" w:lastRow="0" w:firstColumn="1" w:lastColumn="0" w:noHBand="0" w:noVBand="1"/>
            </w:tblPr>
            <w:tblGrid>
              <w:gridCol w:w="1202"/>
              <w:gridCol w:w="602"/>
              <w:gridCol w:w="613"/>
              <w:gridCol w:w="608"/>
              <w:gridCol w:w="718"/>
              <w:gridCol w:w="620"/>
              <w:gridCol w:w="621"/>
            </w:tblGrid>
            <w:tr w:rsidR="005A01C4" w:rsidTr="005A01C4">
              <w:tc>
                <w:tcPr>
                  <w:tcW w:w="1244" w:type="dxa"/>
                </w:tcPr>
                <w:p w:rsidR="005A01C4" w:rsidRPr="005A01C4" w:rsidRDefault="005A01C4" w:rsidP="005A01C4">
                  <w:pPr>
                    <w:jc w:val="center"/>
                    <w:rPr>
                      <w:b/>
                    </w:rPr>
                  </w:pPr>
                  <w:r w:rsidRPr="005A01C4">
                    <w:rPr>
                      <w:b/>
                    </w:rPr>
                    <w:t>Cohort</w:t>
                  </w:r>
                </w:p>
              </w:tc>
              <w:tc>
                <w:tcPr>
                  <w:tcW w:w="1245" w:type="dxa"/>
                  <w:gridSpan w:val="2"/>
                </w:tcPr>
                <w:p w:rsidR="005A01C4" w:rsidRPr="005A01C4" w:rsidRDefault="005A01C4" w:rsidP="005A01C4">
                  <w:pPr>
                    <w:jc w:val="center"/>
                    <w:rPr>
                      <w:b/>
                    </w:rPr>
                  </w:pPr>
                  <w:r w:rsidRPr="005A01C4">
                    <w:rPr>
                      <w:b/>
                    </w:rPr>
                    <w:t>Reading</w:t>
                  </w:r>
                </w:p>
              </w:tc>
              <w:tc>
                <w:tcPr>
                  <w:tcW w:w="1245" w:type="dxa"/>
                  <w:gridSpan w:val="2"/>
                </w:tcPr>
                <w:p w:rsidR="005A01C4" w:rsidRPr="005A01C4" w:rsidRDefault="005A01C4" w:rsidP="005A01C4">
                  <w:pPr>
                    <w:jc w:val="center"/>
                    <w:rPr>
                      <w:b/>
                    </w:rPr>
                  </w:pPr>
                  <w:r w:rsidRPr="005A01C4">
                    <w:rPr>
                      <w:b/>
                    </w:rPr>
                    <w:t>Writing</w:t>
                  </w:r>
                </w:p>
              </w:tc>
              <w:tc>
                <w:tcPr>
                  <w:tcW w:w="1245" w:type="dxa"/>
                  <w:gridSpan w:val="2"/>
                </w:tcPr>
                <w:p w:rsidR="005A01C4" w:rsidRPr="005A01C4" w:rsidRDefault="005A01C4" w:rsidP="005A01C4">
                  <w:pPr>
                    <w:jc w:val="center"/>
                    <w:rPr>
                      <w:b/>
                    </w:rPr>
                  </w:pPr>
                  <w:r w:rsidRPr="005A01C4">
                    <w:rPr>
                      <w:b/>
                    </w:rPr>
                    <w:t>Maths</w:t>
                  </w:r>
                </w:p>
              </w:tc>
            </w:tr>
            <w:tr w:rsidR="005A01C4" w:rsidTr="00BF5941">
              <w:tc>
                <w:tcPr>
                  <w:tcW w:w="1244" w:type="dxa"/>
                </w:tcPr>
                <w:p w:rsidR="005A01C4" w:rsidRPr="005A01C4" w:rsidRDefault="005A01C4" w:rsidP="005A01C4">
                  <w:pPr>
                    <w:jc w:val="center"/>
                    <w:rPr>
                      <w:b/>
                    </w:rPr>
                  </w:pPr>
                </w:p>
              </w:tc>
              <w:tc>
                <w:tcPr>
                  <w:tcW w:w="622" w:type="dxa"/>
                </w:tcPr>
                <w:p w:rsidR="005A01C4" w:rsidRPr="005A01C4" w:rsidRDefault="005A01C4" w:rsidP="005A01C4">
                  <w:pPr>
                    <w:jc w:val="center"/>
                    <w:rPr>
                      <w:b/>
                      <w:sz w:val="18"/>
                      <w:szCs w:val="18"/>
                    </w:rPr>
                  </w:pPr>
                  <w:r w:rsidRPr="005A01C4">
                    <w:rPr>
                      <w:b/>
                      <w:sz w:val="18"/>
                      <w:szCs w:val="18"/>
                    </w:rPr>
                    <w:t>PP</w:t>
                  </w:r>
                </w:p>
              </w:tc>
              <w:tc>
                <w:tcPr>
                  <w:tcW w:w="623" w:type="dxa"/>
                </w:tcPr>
                <w:p w:rsidR="005A01C4" w:rsidRPr="005A01C4" w:rsidRDefault="005A01C4" w:rsidP="005A01C4">
                  <w:pPr>
                    <w:jc w:val="center"/>
                    <w:rPr>
                      <w:b/>
                      <w:sz w:val="18"/>
                      <w:szCs w:val="18"/>
                    </w:rPr>
                  </w:pPr>
                  <w:r w:rsidRPr="005A01C4">
                    <w:rPr>
                      <w:b/>
                      <w:sz w:val="18"/>
                      <w:szCs w:val="18"/>
                    </w:rPr>
                    <w:t>Non PP</w:t>
                  </w:r>
                </w:p>
              </w:tc>
              <w:tc>
                <w:tcPr>
                  <w:tcW w:w="622" w:type="dxa"/>
                </w:tcPr>
                <w:p w:rsidR="005A01C4" w:rsidRPr="005A01C4" w:rsidRDefault="005A01C4" w:rsidP="005A01C4">
                  <w:pPr>
                    <w:jc w:val="center"/>
                    <w:rPr>
                      <w:b/>
                      <w:sz w:val="18"/>
                      <w:szCs w:val="18"/>
                    </w:rPr>
                  </w:pPr>
                  <w:r w:rsidRPr="005A01C4">
                    <w:rPr>
                      <w:b/>
                      <w:sz w:val="18"/>
                      <w:szCs w:val="18"/>
                    </w:rPr>
                    <w:t>PP</w:t>
                  </w:r>
                </w:p>
              </w:tc>
              <w:tc>
                <w:tcPr>
                  <w:tcW w:w="623" w:type="dxa"/>
                </w:tcPr>
                <w:p w:rsidR="005A01C4" w:rsidRPr="005A01C4" w:rsidRDefault="005A01C4" w:rsidP="005A01C4">
                  <w:pPr>
                    <w:jc w:val="center"/>
                    <w:rPr>
                      <w:b/>
                      <w:sz w:val="18"/>
                      <w:szCs w:val="18"/>
                    </w:rPr>
                  </w:pPr>
                  <w:r w:rsidRPr="005A01C4">
                    <w:rPr>
                      <w:b/>
                      <w:sz w:val="18"/>
                      <w:szCs w:val="18"/>
                    </w:rPr>
                    <w:t>Non PP</w:t>
                  </w:r>
                </w:p>
              </w:tc>
              <w:tc>
                <w:tcPr>
                  <w:tcW w:w="622" w:type="dxa"/>
                </w:tcPr>
                <w:p w:rsidR="005A01C4" w:rsidRPr="005A01C4" w:rsidRDefault="005A01C4" w:rsidP="005A01C4">
                  <w:pPr>
                    <w:jc w:val="center"/>
                    <w:rPr>
                      <w:b/>
                      <w:sz w:val="18"/>
                      <w:szCs w:val="18"/>
                    </w:rPr>
                  </w:pPr>
                  <w:r w:rsidRPr="005A01C4">
                    <w:rPr>
                      <w:b/>
                      <w:sz w:val="18"/>
                      <w:szCs w:val="18"/>
                    </w:rPr>
                    <w:t>PP</w:t>
                  </w:r>
                </w:p>
              </w:tc>
              <w:tc>
                <w:tcPr>
                  <w:tcW w:w="623" w:type="dxa"/>
                </w:tcPr>
                <w:p w:rsidR="005A01C4" w:rsidRPr="005A01C4" w:rsidRDefault="005A01C4" w:rsidP="005A01C4">
                  <w:pPr>
                    <w:jc w:val="center"/>
                    <w:rPr>
                      <w:b/>
                      <w:sz w:val="18"/>
                      <w:szCs w:val="18"/>
                    </w:rPr>
                  </w:pPr>
                  <w:r w:rsidRPr="005A01C4">
                    <w:rPr>
                      <w:b/>
                      <w:sz w:val="18"/>
                      <w:szCs w:val="18"/>
                    </w:rPr>
                    <w:t>Non PP</w:t>
                  </w:r>
                </w:p>
              </w:tc>
            </w:tr>
            <w:tr w:rsidR="005A01C4" w:rsidTr="00E02B32">
              <w:tc>
                <w:tcPr>
                  <w:tcW w:w="1244" w:type="dxa"/>
                </w:tcPr>
                <w:p w:rsidR="005A01C4" w:rsidRPr="005A01C4" w:rsidRDefault="005A01C4" w:rsidP="005A01C4">
                  <w:pPr>
                    <w:jc w:val="center"/>
                    <w:rPr>
                      <w:b/>
                    </w:rPr>
                  </w:pPr>
                  <w:r w:rsidRPr="005A01C4">
                    <w:rPr>
                      <w:b/>
                    </w:rPr>
                    <w:t>2</w:t>
                  </w:r>
                </w:p>
              </w:tc>
              <w:tc>
                <w:tcPr>
                  <w:tcW w:w="622" w:type="dxa"/>
                </w:tcPr>
                <w:p w:rsidR="005A01C4" w:rsidRDefault="005A01C4" w:rsidP="005A01C4">
                  <w:pPr>
                    <w:jc w:val="center"/>
                  </w:pPr>
                  <w:r>
                    <w:t>3</w:t>
                  </w:r>
                </w:p>
              </w:tc>
              <w:tc>
                <w:tcPr>
                  <w:tcW w:w="623" w:type="dxa"/>
                </w:tcPr>
                <w:p w:rsidR="005A01C4" w:rsidRDefault="005A01C4" w:rsidP="005A01C4">
                  <w:pPr>
                    <w:jc w:val="center"/>
                  </w:pPr>
                  <w:r>
                    <w:t>5.5</w:t>
                  </w:r>
                </w:p>
              </w:tc>
              <w:tc>
                <w:tcPr>
                  <w:tcW w:w="622" w:type="dxa"/>
                </w:tcPr>
                <w:p w:rsidR="005A01C4" w:rsidRDefault="005A01C4" w:rsidP="005A01C4">
                  <w:pPr>
                    <w:jc w:val="center"/>
                  </w:pPr>
                  <w:r>
                    <w:t>7</w:t>
                  </w:r>
                </w:p>
              </w:tc>
              <w:tc>
                <w:tcPr>
                  <w:tcW w:w="623" w:type="dxa"/>
                </w:tcPr>
                <w:p w:rsidR="005A01C4" w:rsidRDefault="005A01C4" w:rsidP="005A01C4">
                  <w:pPr>
                    <w:jc w:val="center"/>
                  </w:pPr>
                  <w:r>
                    <w:t>7.5</w:t>
                  </w:r>
                </w:p>
              </w:tc>
              <w:tc>
                <w:tcPr>
                  <w:tcW w:w="622" w:type="dxa"/>
                </w:tcPr>
                <w:p w:rsidR="005A01C4" w:rsidRDefault="005A01C4" w:rsidP="005A01C4">
                  <w:pPr>
                    <w:jc w:val="center"/>
                  </w:pPr>
                  <w:r>
                    <w:t>8</w:t>
                  </w:r>
                </w:p>
              </w:tc>
              <w:tc>
                <w:tcPr>
                  <w:tcW w:w="623" w:type="dxa"/>
                </w:tcPr>
                <w:p w:rsidR="005A01C4" w:rsidRDefault="005A01C4" w:rsidP="005A01C4">
                  <w:pPr>
                    <w:jc w:val="center"/>
                  </w:pPr>
                  <w:r>
                    <w:t>7.5</w:t>
                  </w:r>
                </w:p>
              </w:tc>
            </w:tr>
            <w:tr w:rsidR="005A01C4" w:rsidTr="005867CC">
              <w:tc>
                <w:tcPr>
                  <w:tcW w:w="1244" w:type="dxa"/>
                </w:tcPr>
                <w:p w:rsidR="005A01C4" w:rsidRDefault="005A01C4" w:rsidP="005A01C4">
                  <w:pPr>
                    <w:jc w:val="center"/>
                  </w:pPr>
                  <w:r w:rsidRPr="005A01C4">
                    <w:rPr>
                      <w:b/>
                    </w:rPr>
                    <w:t>4</w:t>
                  </w:r>
                  <w:r>
                    <w:t xml:space="preserve"> </w:t>
                  </w:r>
                  <w:r w:rsidRPr="005A01C4">
                    <w:rPr>
                      <w:sz w:val="18"/>
                      <w:szCs w:val="18"/>
                    </w:rPr>
                    <w:t>(50% of these PP children are also on the register of need</w:t>
                  </w:r>
                  <w:r>
                    <w:rPr>
                      <w:sz w:val="18"/>
                      <w:szCs w:val="18"/>
                    </w:rPr>
                    <w:t>)</w:t>
                  </w:r>
                </w:p>
              </w:tc>
              <w:tc>
                <w:tcPr>
                  <w:tcW w:w="622" w:type="dxa"/>
                </w:tcPr>
                <w:p w:rsidR="005A01C4" w:rsidRDefault="005A01C4" w:rsidP="005A01C4">
                  <w:pPr>
                    <w:jc w:val="center"/>
                  </w:pPr>
                  <w:r>
                    <w:t>3</w:t>
                  </w:r>
                </w:p>
              </w:tc>
              <w:tc>
                <w:tcPr>
                  <w:tcW w:w="623" w:type="dxa"/>
                </w:tcPr>
                <w:p w:rsidR="005A01C4" w:rsidRDefault="005A01C4" w:rsidP="005A01C4">
                  <w:pPr>
                    <w:jc w:val="center"/>
                  </w:pPr>
                  <w:r>
                    <w:t>5.6</w:t>
                  </w:r>
                </w:p>
              </w:tc>
              <w:tc>
                <w:tcPr>
                  <w:tcW w:w="622" w:type="dxa"/>
                </w:tcPr>
                <w:p w:rsidR="005A01C4" w:rsidRDefault="005A01C4" w:rsidP="005A01C4">
                  <w:pPr>
                    <w:jc w:val="center"/>
                  </w:pPr>
                  <w:r>
                    <w:t>3.2</w:t>
                  </w:r>
                </w:p>
              </w:tc>
              <w:tc>
                <w:tcPr>
                  <w:tcW w:w="623" w:type="dxa"/>
                </w:tcPr>
                <w:p w:rsidR="005A01C4" w:rsidRDefault="005A01C4" w:rsidP="005A01C4">
                  <w:pPr>
                    <w:jc w:val="center"/>
                  </w:pPr>
                  <w:r>
                    <w:t>5.2</w:t>
                  </w:r>
                </w:p>
              </w:tc>
              <w:tc>
                <w:tcPr>
                  <w:tcW w:w="622" w:type="dxa"/>
                </w:tcPr>
                <w:p w:rsidR="005A01C4" w:rsidRDefault="005A01C4" w:rsidP="005A01C4">
                  <w:pPr>
                    <w:jc w:val="center"/>
                  </w:pPr>
                  <w:r>
                    <w:t>7</w:t>
                  </w:r>
                </w:p>
              </w:tc>
              <w:tc>
                <w:tcPr>
                  <w:tcW w:w="623" w:type="dxa"/>
                </w:tcPr>
                <w:p w:rsidR="005A01C4" w:rsidRDefault="005A01C4" w:rsidP="005A01C4">
                  <w:pPr>
                    <w:jc w:val="center"/>
                  </w:pPr>
                  <w:r>
                    <w:t>7.8</w:t>
                  </w:r>
                </w:p>
              </w:tc>
            </w:tr>
            <w:tr w:rsidR="005A01C4" w:rsidTr="00FC2847">
              <w:tc>
                <w:tcPr>
                  <w:tcW w:w="1244" w:type="dxa"/>
                </w:tcPr>
                <w:p w:rsidR="005A01C4" w:rsidRPr="005A01C4" w:rsidRDefault="005A01C4" w:rsidP="005A01C4">
                  <w:pPr>
                    <w:jc w:val="center"/>
                    <w:rPr>
                      <w:b/>
                    </w:rPr>
                  </w:pPr>
                  <w:r w:rsidRPr="005A01C4">
                    <w:rPr>
                      <w:b/>
                    </w:rPr>
                    <w:t>5</w:t>
                  </w:r>
                </w:p>
              </w:tc>
              <w:tc>
                <w:tcPr>
                  <w:tcW w:w="622" w:type="dxa"/>
                </w:tcPr>
                <w:p w:rsidR="005A01C4" w:rsidRDefault="005A01C4" w:rsidP="005A01C4">
                  <w:pPr>
                    <w:jc w:val="center"/>
                  </w:pPr>
                  <w:r>
                    <w:t>6</w:t>
                  </w:r>
                </w:p>
              </w:tc>
              <w:tc>
                <w:tcPr>
                  <w:tcW w:w="623" w:type="dxa"/>
                </w:tcPr>
                <w:p w:rsidR="005A01C4" w:rsidRDefault="005A01C4" w:rsidP="005A01C4">
                  <w:pPr>
                    <w:jc w:val="center"/>
                  </w:pPr>
                  <w:r>
                    <w:t>5.6</w:t>
                  </w:r>
                </w:p>
              </w:tc>
              <w:tc>
                <w:tcPr>
                  <w:tcW w:w="622" w:type="dxa"/>
                </w:tcPr>
                <w:p w:rsidR="005A01C4" w:rsidRDefault="005A01C4" w:rsidP="005A01C4">
                  <w:pPr>
                    <w:jc w:val="center"/>
                  </w:pPr>
                  <w:r>
                    <w:t>7</w:t>
                  </w:r>
                </w:p>
              </w:tc>
              <w:tc>
                <w:tcPr>
                  <w:tcW w:w="623" w:type="dxa"/>
                </w:tcPr>
                <w:p w:rsidR="005A01C4" w:rsidRDefault="005A01C4" w:rsidP="005A01C4">
                  <w:pPr>
                    <w:jc w:val="center"/>
                  </w:pPr>
                  <w:r>
                    <w:t>6.4</w:t>
                  </w:r>
                </w:p>
              </w:tc>
              <w:tc>
                <w:tcPr>
                  <w:tcW w:w="622" w:type="dxa"/>
                </w:tcPr>
                <w:p w:rsidR="005A01C4" w:rsidRDefault="005A01C4" w:rsidP="005A01C4">
                  <w:pPr>
                    <w:jc w:val="center"/>
                  </w:pPr>
                  <w:r>
                    <w:t>6</w:t>
                  </w:r>
                </w:p>
              </w:tc>
              <w:tc>
                <w:tcPr>
                  <w:tcW w:w="623" w:type="dxa"/>
                </w:tcPr>
                <w:p w:rsidR="005A01C4" w:rsidRDefault="005A01C4" w:rsidP="005A01C4">
                  <w:pPr>
                    <w:jc w:val="center"/>
                  </w:pPr>
                  <w:r>
                    <w:t>8.6</w:t>
                  </w:r>
                </w:p>
              </w:tc>
            </w:tr>
            <w:tr w:rsidR="005A01C4" w:rsidTr="00FC2847">
              <w:tc>
                <w:tcPr>
                  <w:tcW w:w="1244" w:type="dxa"/>
                </w:tcPr>
                <w:p w:rsidR="005A01C4" w:rsidRPr="005A01C4" w:rsidRDefault="005A01C4" w:rsidP="005A01C4">
                  <w:pPr>
                    <w:jc w:val="center"/>
                    <w:rPr>
                      <w:b/>
                    </w:rPr>
                  </w:pPr>
                  <w:r w:rsidRPr="005A01C4">
                    <w:rPr>
                      <w:b/>
                    </w:rPr>
                    <w:t>6</w:t>
                  </w:r>
                </w:p>
              </w:tc>
              <w:tc>
                <w:tcPr>
                  <w:tcW w:w="622" w:type="dxa"/>
                </w:tcPr>
                <w:p w:rsidR="005A01C4" w:rsidRDefault="005A01C4" w:rsidP="005A01C4">
                  <w:pPr>
                    <w:jc w:val="center"/>
                  </w:pPr>
                  <w:r>
                    <w:t>10</w:t>
                  </w:r>
                </w:p>
              </w:tc>
              <w:tc>
                <w:tcPr>
                  <w:tcW w:w="623" w:type="dxa"/>
                </w:tcPr>
                <w:p w:rsidR="005A01C4" w:rsidRDefault="005A01C4" w:rsidP="005A01C4">
                  <w:pPr>
                    <w:jc w:val="center"/>
                  </w:pPr>
                  <w:r>
                    <w:t>9</w:t>
                  </w:r>
                </w:p>
              </w:tc>
              <w:tc>
                <w:tcPr>
                  <w:tcW w:w="622" w:type="dxa"/>
                </w:tcPr>
                <w:p w:rsidR="005A01C4" w:rsidRDefault="005A01C4" w:rsidP="005A01C4">
                  <w:pPr>
                    <w:jc w:val="center"/>
                  </w:pPr>
                  <w:r>
                    <w:t>11</w:t>
                  </w:r>
                </w:p>
              </w:tc>
              <w:tc>
                <w:tcPr>
                  <w:tcW w:w="623" w:type="dxa"/>
                </w:tcPr>
                <w:p w:rsidR="005A01C4" w:rsidRDefault="005A01C4" w:rsidP="005A01C4">
                  <w:pPr>
                    <w:jc w:val="center"/>
                  </w:pPr>
                  <w:r>
                    <w:t>11.78</w:t>
                  </w:r>
                </w:p>
              </w:tc>
              <w:tc>
                <w:tcPr>
                  <w:tcW w:w="622" w:type="dxa"/>
                </w:tcPr>
                <w:p w:rsidR="005A01C4" w:rsidRDefault="005A01C4" w:rsidP="005A01C4">
                  <w:pPr>
                    <w:jc w:val="center"/>
                  </w:pPr>
                  <w:r>
                    <w:t>12.3</w:t>
                  </w:r>
                </w:p>
              </w:tc>
              <w:tc>
                <w:tcPr>
                  <w:tcW w:w="623" w:type="dxa"/>
                </w:tcPr>
                <w:p w:rsidR="005A01C4" w:rsidRDefault="005A01C4" w:rsidP="005A01C4">
                  <w:pPr>
                    <w:jc w:val="center"/>
                  </w:pPr>
                  <w:r>
                    <w:t>12.2</w:t>
                  </w:r>
                </w:p>
              </w:tc>
            </w:tr>
          </w:tbl>
          <w:p w:rsidR="005A01C4" w:rsidRPr="00DA026F" w:rsidRDefault="005A01C4"/>
          <w:p w:rsidR="007511DC" w:rsidRDefault="005A01C4">
            <w:r>
              <w:t xml:space="preserve">This shows </w:t>
            </w:r>
            <w:r w:rsidR="000806A8">
              <w:t xml:space="preserve">that in most year groups, children eligible for Pupil premium funding have made as much (or more) progress than </w:t>
            </w:r>
            <w:proofErr w:type="spellStart"/>
            <w:r w:rsidR="000806A8">
              <w:t>non Pupil</w:t>
            </w:r>
            <w:proofErr w:type="spellEnd"/>
            <w:r w:rsidR="000806A8">
              <w:t xml:space="preserve"> premium children. Where this is not the case in reading and writing in year 4, 50% of the Pupil premium children are also on the Register of Need.</w:t>
            </w:r>
          </w:p>
          <w:p w:rsidR="000806A8" w:rsidRDefault="000806A8"/>
          <w:p w:rsidR="007511DC" w:rsidRDefault="000806A8" w:rsidP="000806A8">
            <w:pPr>
              <w:rPr>
                <w:sz w:val="32"/>
                <w:szCs w:val="32"/>
              </w:rPr>
            </w:pPr>
            <w:r>
              <w:t>TAs are able to support the learning within class as well as taking individual and small groups for intervention</w:t>
            </w:r>
            <w:r w:rsidR="00946922">
              <w:t xml:space="preserve">. Pre-teaching also take </w:t>
            </w:r>
            <w:proofErr w:type="spellStart"/>
            <w:r w:rsidR="00946922">
              <w:t>splace</w:t>
            </w:r>
            <w:proofErr w:type="spellEnd"/>
            <w:r w:rsidR="00946922">
              <w:t>.</w:t>
            </w:r>
            <w:r>
              <w:t xml:space="preserve"> </w:t>
            </w:r>
            <w:proofErr w:type="gramStart"/>
            <w:r>
              <w:t>which</w:t>
            </w:r>
            <w:proofErr w:type="gramEnd"/>
            <w:r>
              <w:t xml:space="preserve"> is reflected in the good progress.</w:t>
            </w:r>
          </w:p>
        </w:tc>
      </w:tr>
      <w:tr w:rsidR="00566441" w:rsidTr="00DA026F">
        <w:tc>
          <w:tcPr>
            <w:tcW w:w="3741" w:type="dxa"/>
          </w:tcPr>
          <w:p w:rsidR="00566441" w:rsidRDefault="007511DC">
            <w:pPr>
              <w:rPr>
                <w:sz w:val="32"/>
                <w:szCs w:val="32"/>
              </w:rPr>
            </w:pPr>
            <w:r w:rsidRPr="007511DC">
              <w:rPr>
                <w:sz w:val="32"/>
                <w:szCs w:val="32"/>
              </w:rPr>
              <w:t>PSA Contribution</w:t>
            </w:r>
          </w:p>
        </w:tc>
        <w:tc>
          <w:tcPr>
            <w:tcW w:w="1681" w:type="dxa"/>
          </w:tcPr>
          <w:p w:rsidR="00566441" w:rsidRDefault="00684488" w:rsidP="00653D9C">
            <w:pPr>
              <w:rPr>
                <w:sz w:val="32"/>
                <w:szCs w:val="32"/>
              </w:rPr>
            </w:pPr>
            <w:r>
              <w:rPr>
                <w:sz w:val="32"/>
                <w:szCs w:val="32"/>
              </w:rPr>
              <w:t>£</w:t>
            </w:r>
            <w:r w:rsidR="00653D9C">
              <w:rPr>
                <w:sz w:val="32"/>
                <w:szCs w:val="32"/>
              </w:rPr>
              <w:t>1000</w:t>
            </w:r>
          </w:p>
        </w:tc>
        <w:tc>
          <w:tcPr>
            <w:tcW w:w="5210" w:type="dxa"/>
            <w:gridSpan w:val="2"/>
          </w:tcPr>
          <w:p w:rsidR="009A3159" w:rsidRDefault="00946922">
            <w:r>
              <w:t>A Parent Support Adviser is employed across the Roseland feeder schools. This was part funded by Pupil premium funding because both of the children she currently supports are eligible for Pupil premium funding. Her support has enabled one child’s punctuality to improve to that they are no longer missing the lessons at the start of the day</w:t>
            </w:r>
            <w:proofErr w:type="gramStart"/>
            <w:r>
              <w:t>..</w:t>
            </w:r>
            <w:proofErr w:type="gramEnd"/>
            <w:r>
              <w:t xml:space="preserve"> Both children’s behaviour for learning and self-esteem has also been improved. For one of these children, the improved behaviour has contributed to a more positive learning environment for the whole class.</w:t>
            </w:r>
          </w:p>
          <w:p w:rsidR="007511DC" w:rsidRDefault="00946922" w:rsidP="00946922">
            <w:pPr>
              <w:rPr>
                <w:sz w:val="32"/>
                <w:szCs w:val="32"/>
              </w:rPr>
            </w:pPr>
            <w:r>
              <w:t>Progress for one of these children has been 5, 5 and 3 for reading, writing and maths respectively where the expected would be 5 points. It is unlikely this child would have made this progress without support from the PSA.</w:t>
            </w:r>
            <w:bookmarkStart w:id="0" w:name="_GoBack"/>
            <w:bookmarkEnd w:id="0"/>
          </w:p>
        </w:tc>
      </w:tr>
      <w:tr w:rsidR="00566441" w:rsidTr="00DA026F">
        <w:tc>
          <w:tcPr>
            <w:tcW w:w="3741" w:type="dxa"/>
          </w:tcPr>
          <w:p w:rsidR="00566441" w:rsidRDefault="002C6F7A" w:rsidP="00653D9C">
            <w:pPr>
              <w:rPr>
                <w:sz w:val="32"/>
                <w:szCs w:val="32"/>
              </w:rPr>
            </w:pPr>
            <w:r>
              <w:rPr>
                <w:sz w:val="32"/>
                <w:szCs w:val="32"/>
              </w:rPr>
              <w:t xml:space="preserve">Other Pupil Premium </w:t>
            </w:r>
            <w:r w:rsidR="00653D9C">
              <w:rPr>
                <w:sz w:val="32"/>
                <w:szCs w:val="32"/>
              </w:rPr>
              <w:t>E</w:t>
            </w:r>
            <w:r>
              <w:rPr>
                <w:sz w:val="32"/>
                <w:szCs w:val="32"/>
              </w:rPr>
              <w:t xml:space="preserve">xpenditure </w:t>
            </w:r>
          </w:p>
        </w:tc>
        <w:tc>
          <w:tcPr>
            <w:tcW w:w="1681" w:type="dxa"/>
          </w:tcPr>
          <w:p w:rsidR="00566441" w:rsidRDefault="00684488" w:rsidP="00653D9C">
            <w:pPr>
              <w:rPr>
                <w:sz w:val="32"/>
                <w:szCs w:val="32"/>
              </w:rPr>
            </w:pPr>
            <w:r>
              <w:rPr>
                <w:sz w:val="32"/>
                <w:szCs w:val="32"/>
              </w:rPr>
              <w:t>£</w:t>
            </w:r>
            <w:r w:rsidR="00D86A95">
              <w:rPr>
                <w:sz w:val="32"/>
                <w:szCs w:val="32"/>
              </w:rPr>
              <w:t>1</w:t>
            </w:r>
            <w:r w:rsidR="00653D9C">
              <w:rPr>
                <w:sz w:val="32"/>
                <w:szCs w:val="32"/>
              </w:rPr>
              <w:t>0</w:t>
            </w:r>
            <w:r w:rsidR="00D86A95">
              <w:rPr>
                <w:sz w:val="32"/>
                <w:szCs w:val="32"/>
              </w:rPr>
              <w:t>00</w:t>
            </w:r>
          </w:p>
        </w:tc>
        <w:tc>
          <w:tcPr>
            <w:tcW w:w="5210" w:type="dxa"/>
            <w:gridSpan w:val="2"/>
          </w:tcPr>
          <w:p w:rsidR="007511DC" w:rsidRDefault="00946922">
            <w:pPr>
              <w:rPr>
                <w:sz w:val="32"/>
                <w:szCs w:val="32"/>
              </w:rPr>
            </w:pPr>
            <w:r>
              <w:rPr>
                <w:sz w:val="32"/>
                <w:szCs w:val="32"/>
              </w:rPr>
              <w:t>To be confirmed at the end of the year.</w:t>
            </w:r>
          </w:p>
          <w:p w:rsidR="007511DC" w:rsidRDefault="007511DC">
            <w:pPr>
              <w:rPr>
                <w:sz w:val="32"/>
                <w:szCs w:val="32"/>
              </w:rPr>
            </w:pPr>
          </w:p>
        </w:tc>
      </w:tr>
      <w:tr w:rsidR="00566441" w:rsidTr="00DA026F">
        <w:tc>
          <w:tcPr>
            <w:tcW w:w="3741" w:type="dxa"/>
            <w:shd w:val="clear" w:color="auto" w:fill="D9D9D9" w:themeFill="background1" w:themeFillShade="D9"/>
          </w:tcPr>
          <w:p w:rsidR="00566441" w:rsidRPr="00CF3E50" w:rsidRDefault="00CF3E50">
            <w:pPr>
              <w:rPr>
                <w:sz w:val="32"/>
                <w:szCs w:val="32"/>
              </w:rPr>
            </w:pPr>
            <w:r w:rsidRPr="00CF3E50">
              <w:rPr>
                <w:sz w:val="32"/>
                <w:szCs w:val="32"/>
              </w:rPr>
              <w:t xml:space="preserve">Total Expenditure </w:t>
            </w:r>
          </w:p>
        </w:tc>
        <w:tc>
          <w:tcPr>
            <w:tcW w:w="1681" w:type="dxa"/>
            <w:shd w:val="clear" w:color="auto" w:fill="D9D9D9" w:themeFill="background1" w:themeFillShade="D9"/>
          </w:tcPr>
          <w:p w:rsidR="00566441" w:rsidRDefault="00CF3E50" w:rsidP="004A7CEE">
            <w:pPr>
              <w:rPr>
                <w:sz w:val="32"/>
                <w:szCs w:val="32"/>
              </w:rPr>
            </w:pPr>
            <w:r w:rsidRPr="00CF3E50">
              <w:rPr>
                <w:sz w:val="32"/>
                <w:szCs w:val="32"/>
              </w:rPr>
              <w:t>£</w:t>
            </w:r>
            <w:r w:rsidR="00653D9C">
              <w:rPr>
                <w:sz w:val="32"/>
                <w:szCs w:val="32"/>
              </w:rPr>
              <w:t>1</w:t>
            </w:r>
            <w:r w:rsidR="004A7CEE">
              <w:rPr>
                <w:sz w:val="32"/>
                <w:szCs w:val="32"/>
              </w:rPr>
              <w:t>64</w:t>
            </w:r>
            <w:r w:rsidR="00653D9C">
              <w:rPr>
                <w:sz w:val="32"/>
                <w:szCs w:val="32"/>
              </w:rPr>
              <w:t>16</w:t>
            </w:r>
          </w:p>
        </w:tc>
        <w:tc>
          <w:tcPr>
            <w:tcW w:w="5210" w:type="dxa"/>
            <w:gridSpan w:val="2"/>
            <w:shd w:val="clear" w:color="auto" w:fill="D9D9D9" w:themeFill="background1" w:themeFillShade="D9"/>
          </w:tcPr>
          <w:p w:rsidR="00566441" w:rsidRDefault="00566441">
            <w:pPr>
              <w:rPr>
                <w:sz w:val="32"/>
                <w:szCs w:val="32"/>
              </w:rPr>
            </w:pPr>
          </w:p>
        </w:tc>
      </w:tr>
      <w:tr w:rsidR="00566441" w:rsidTr="00DA026F">
        <w:tc>
          <w:tcPr>
            <w:tcW w:w="3741" w:type="dxa"/>
          </w:tcPr>
          <w:p w:rsidR="00566441" w:rsidRDefault="00566441">
            <w:pPr>
              <w:rPr>
                <w:sz w:val="32"/>
                <w:szCs w:val="32"/>
              </w:rPr>
            </w:pPr>
          </w:p>
        </w:tc>
        <w:tc>
          <w:tcPr>
            <w:tcW w:w="1681" w:type="dxa"/>
          </w:tcPr>
          <w:p w:rsidR="00566441" w:rsidRDefault="00566441">
            <w:pPr>
              <w:rPr>
                <w:sz w:val="32"/>
                <w:szCs w:val="32"/>
              </w:rPr>
            </w:pPr>
          </w:p>
        </w:tc>
        <w:tc>
          <w:tcPr>
            <w:tcW w:w="5210" w:type="dxa"/>
            <w:gridSpan w:val="2"/>
          </w:tcPr>
          <w:p w:rsidR="00566441" w:rsidRDefault="00566441">
            <w:pPr>
              <w:rPr>
                <w:sz w:val="32"/>
                <w:szCs w:val="32"/>
              </w:rPr>
            </w:pPr>
          </w:p>
        </w:tc>
      </w:tr>
      <w:tr w:rsidR="00F554CD" w:rsidTr="00DA026F">
        <w:tc>
          <w:tcPr>
            <w:tcW w:w="3741" w:type="dxa"/>
            <w:shd w:val="clear" w:color="auto" w:fill="D9D9D9" w:themeFill="background1" w:themeFillShade="D9"/>
          </w:tcPr>
          <w:p w:rsidR="00F554CD" w:rsidRDefault="00CF3E50">
            <w:pPr>
              <w:rPr>
                <w:sz w:val="32"/>
                <w:szCs w:val="32"/>
              </w:rPr>
            </w:pPr>
            <w:r>
              <w:rPr>
                <w:sz w:val="32"/>
                <w:szCs w:val="32"/>
              </w:rPr>
              <w:t xml:space="preserve">Amount carried forward </w:t>
            </w:r>
          </w:p>
        </w:tc>
        <w:tc>
          <w:tcPr>
            <w:tcW w:w="1681" w:type="dxa"/>
            <w:shd w:val="clear" w:color="auto" w:fill="D9D9D9" w:themeFill="background1" w:themeFillShade="D9"/>
          </w:tcPr>
          <w:p w:rsidR="00F554CD" w:rsidRDefault="00CF3E50">
            <w:pPr>
              <w:rPr>
                <w:sz w:val="32"/>
                <w:szCs w:val="32"/>
              </w:rPr>
            </w:pPr>
            <w:r>
              <w:rPr>
                <w:sz w:val="32"/>
                <w:szCs w:val="32"/>
              </w:rPr>
              <w:t>£0</w:t>
            </w:r>
          </w:p>
        </w:tc>
        <w:tc>
          <w:tcPr>
            <w:tcW w:w="5210" w:type="dxa"/>
            <w:gridSpan w:val="2"/>
            <w:shd w:val="clear" w:color="auto" w:fill="D9D9D9" w:themeFill="background1" w:themeFillShade="D9"/>
          </w:tcPr>
          <w:p w:rsidR="00F554CD" w:rsidRDefault="00F554CD">
            <w:pPr>
              <w:rPr>
                <w:sz w:val="32"/>
                <w:szCs w:val="32"/>
              </w:rPr>
            </w:pPr>
          </w:p>
        </w:tc>
      </w:tr>
    </w:tbl>
    <w:p w:rsidR="005B054F" w:rsidRDefault="005B054F" w:rsidP="00CF3E50">
      <w:pPr>
        <w:rPr>
          <w:sz w:val="32"/>
          <w:szCs w:val="32"/>
        </w:rPr>
      </w:pPr>
    </w:p>
    <w:p w:rsidR="00FD14C2" w:rsidRPr="005B054F" w:rsidRDefault="00FD14C2" w:rsidP="00CF3E50">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3236B"/>
    <w:rsid w:val="000806A8"/>
    <w:rsid w:val="000E7316"/>
    <w:rsid w:val="00105FF9"/>
    <w:rsid w:val="002C6F7A"/>
    <w:rsid w:val="002E2A92"/>
    <w:rsid w:val="003C0FF6"/>
    <w:rsid w:val="004517A3"/>
    <w:rsid w:val="004A7CEE"/>
    <w:rsid w:val="00531A88"/>
    <w:rsid w:val="00540F09"/>
    <w:rsid w:val="00566441"/>
    <w:rsid w:val="00574868"/>
    <w:rsid w:val="005A01C4"/>
    <w:rsid w:val="005B054F"/>
    <w:rsid w:val="005C2ADC"/>
    <w:rsid w:val="005C3BF1"/>
    <w:rsid w:val="005E1FBE"/>
    <w:rsid w:val="00653D9C"/>
    <w:rsid w:val="006805A5"/>
    <w:rsid w:val="00684488"/>
    <w:rsid w:val="006A1189"/>
    <w:rsid w:val="006F53D3"/>
    <w:rsid w:val="007048E8"/>
    <w:rsid w:val="007511DC"/>
    <w:rsid w:val="00793F5C"/>
    <w:rsid w:val="007B6404"/>
    <w:rsid w:val="007C7672"/>
    <w:rsid w:val="007E6CBC"/>
    <w:rsid w:val="00814DEE"/>
    <w:rsid w:val="00877EFE"/>
    <w:rsid w:val="00913FF1"/>
    <w:rsid w:val="00946922"/>
    <w:rsid w:val="00965047"/>
    <w:rsid w:val="009A3159"/>
    <w:rsid w:val="009D621D"/>
    <w:rsid w:val="00B2764C"/>
    <w:rsid w:val="00C11AC6"/>
    <w:rsid w:val="00C67BF8"/>
    <w:rsid w:val="00CF3E50"/>
    <w:rsid w:val="00D62917"/>
    <w:rsid w:val="00D72578"/>
    <w:rsid w:val="00D86A95"/>
    <w:rsid w:val="00DA026F"/>
    <w:rsid w:val="00E24F97"/>
    <w:rsid w:val="00EC664C"/>
    <w:rsid w:val="00EE785B"/>
    <w:rsid w:val="00F165FC"/>
    <w:rsid w:val="00F554CD"/>
    <w:rsid w:val="00FD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9482B-C82C-49EA-A7DB-364582D7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Lisa</cp:lastModifiedBy>
  <cp:revision>2</cp:revision>
  <cp:lastPrinted>2014-11-04T14:05:00Z</cp:lastPrinted>
  <dcterms:created xsi:type="dcterms:W3CDTF">2016-07-06T08:53:00Z</dcterms:created>
  <dcterms:modified xsi:type="dcterms:W3CDTF">2016-07-06T08:53:00Z</dcterms:modified>
</cp:coreProperties>
</file>