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4F" w:rsidRPr="007048E8" w:rsidRDefault="005B054F">
      <w:pPr>
        <w:rPr>
          <w:b/>
          <w:sz w:val="32"/>
          <w:szCs w:val="32"/>
        </w:rPr>
      </w:pPr>
      <w:r w:rsidRPr="007048E8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7243A7B" wp14:editId="63E43FD9">
            <wp:simplePos x="0" y="0"/>
            <wp:positionH relativeFrom="column">
              <wp:posOffset>4455795</wp:posOffset>
            </wp:positionH>
            <wp:positionV relativeFrom="paragraph">
              <wp:posOffset>-577215</wp:posOffset>
            </wp:positionV>
            <wp:extent cx="1770380" cy="902970"/>
            <wp:effectExtent l="0" t="0" r="1270" b="0"/>
            <wp:wrapTight wrapText="bothSides">
              <wp:wrapPolygon edited="0">
                <wp:start x="0" y="0"/>
                <wp:lineTo x="0" y="20962"/>
                <wp:lineTo x="21383" y="20962"/>
                <wp:lineTo x="21383" y="0"/>
                <wp:lineTo x="0" y="0"/>
              </wp:wrapPolygon>
            </wp:wrapTight>
            <wp:docPr id="1" name="Picture 1" descr="C:\Users\ngordon\AppData\Local\Microsoft\Windows\Temporary Internet Files\Content.Outlook\C9EKLINY\P-Cross Log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ordon\AppData\Local\Microsoft\Windows\Temporary Internet Files\Content.Outlook\C9EKLINY\P-Cross Logo-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8E8">
        <w:rPr>
          <w:b/>
          <w:sz w:val="32"/>
          <w:szCs w:val="32"/>
        </w:rPr>
        <w:t>St Piran’s Cross C of E Multi-Academy Trust</w:t>
      </w:r>
    </w:p>
    <w:p w:rsidR="001E1627" w:rsidRPr="00540F09" w:rsidRDefault="005B054F">
      <w:pPr>
        <w:rPr>
          <w:b/>
          <w:sz w:val="28"/>
          <w:szCs w:val="28"/>
        </w:rPr>
      </w:pPr>
      <w:r w:rsidRPr="007048E8">
        <w:rPr>
          <w:b/>
          <w:sz w:val="32"/>
          <w:szCs w:val="32"/>
        </w:rPr>
        <w:t xml:space="preserve">Pupil Premium Report </w:t>
      </w:r>
      <w:r w:rsidR="00814DEE">
        <w:rPr>
          <w:b/>
          <w:sz w:val="32"/>
          <w:szCs w:val="32"/>
        </w:rPr>
        <w:t xml:space="preserve">– </w:t>
      </w:r>
      <w:r w:rsidR="00D62917">
        <w:rPr>
          <w:b/>
          <w:sz w:val="32"/>
          <w:szCs w:val="32"/>
        </w:rPr>
        <w:t>Veryan</w:t>
      </w:r>
    </w:p>
    <w:p w:rsidR="005B054F" w:rsidRDefault="005E1FBE">
      <w:pPr>
        <w:rPr>
          <w:b/>
          <w:sz w:val="32"/>
          <w:szCs w:val="32"/>
        </w:rPr>
      </w:pPr>
      <w:r w:rsidRPr="005E1FBE">
        <w:rPr>
          <w:b/>
          <w:sz w:val="32"/>
          <w:szCs w:val="32"/>
        </w:rPr>
        <w:t xml:space="preserve">Predicted Spent </w:t>
      </w:r>
      <w:r w:rsidR="005B054F" w:rsidRPr="005E1FBE">
        <w:rPr>
          <w:b/>
          <w:sz w:val="32"/>
          <w:szCs w:val="32"/>
        </w:rPr>
        <w:t>Report</w:t>
      </w:r>
      <w:r w:rsidR="005B054F" w:rsidRPr="007048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for </w:t>
      </w:r>
      <w:r w:rsidR="00540F09">
        <w:rPr>
          <w:b/>
          <w:sz w:val="32"/>
          <w:szCs w:val="32"/>
        </w:rPr>
        <w:t xml:space="preserve">Period </w:t>
      </w:r>
      <w:r w:rsidR="00E24F97">
        <w:rPr>
          <w:b/>
          <w:sz w:val="32"/>
          <w:szCs w:val="32"/>
        </w:rPr>
        <w:t>1</w:t>
      </w:r>
      <w:r w:rsidR="00E24F97" w:rsidRPr="00E24F97">
        <w:rPr>
          <w:b/>
          <w:sz w:val="32"/>
          <w:szCs w:val="32"/>
          <w:vertAlign w:val="superscript"/>
        </w:rPr>
        <w:t>st</w:t>
      </w:r>
      <w:r w:rsidR="00E24F97">
        <w:rPr>
          <w:b/>
          <w:sz w:val="32"/>
          <w:szCs w:val="32"/>
        </w:rPr>
        <w:t xml:space="preserve"> </w:t>
      </w:r>
      <w:r w:rsidR="00F165FC">
        <w:rPr>
          <w:b/>
          <w:sz w:val="32"/>
          <w:szCs w:val="32"/>
        </w:rPr>
        <w:t xml:space="preserve">September </w:t>
      </w:r>
      <w:r w:rsidR="00E24F97">
        <w:rPr>
          <w:b/>
          <w:sz w:val="32"/>
          <w:szCs w:val="32"/>
        </w:rPr>
        <w:t>201</w:t>
      </w:r>
      <w:r w:rsidR="0067106F">
        <w:rPr>
          <w:b/>
          <w:sz w:val="32"/>
          <w:szCs w:val="32"/>
        </w:rPr>
        <w:t>6</w:t>
      </w:r>
      <w:r w:rsidR="00E24F97">
        <w:rPr>
          <w:b/>
          <w:sz w:val="32"/>
          <w:szCs w:val="32"/>
        </w:rPr>
        <w:t>- 31</w:t>
      </w:r>
      <w:r w:rsidR="00E24F97" w:rsidRPr="00E24F97">
        <w:rPr>
          <w:b/>
          <w:sz w:val="32"/>
          <w:szCs w:val="32"/>
          <w:vertAlign w:val="superscript"/>
        </w:rPr>
        <w:t>st</w:t>
      </w:r>
      <w:r w:rsidR="0067106F">
        <w:rPr>
          <w:b/>
          <w:sz w:val="32"/>
          <w:szCs w:val="32"/>
        </w:rPr>
        <w:t xml:space="preserve"> August 2017</w:t>
      </w:r>
    </w:p>
    <w:p w:rsidR="00540F09" w:rsidRPr="00A80E7B" w:rsidRDefault="00C67BF8" w:rsidP="00540F09">
      <w:pPr>
        <w:rPr>
          <w:b/>
          <w:sz w:val="28"/>
          <w:szCs w:val="28"/>
        </w:rPr>
      </w:pPr>
      <w:r w:rsidRPr="00C67BF8">
        <w:rPr>
          <w:b/>
          <w:sz w:val="28"/>
          <w:szCs w:val="28"/>
        </w:rPr>
        <w:t>The funding stated below will be received during the period stated above during the grant period of 201</w:t>
      </w:r>
      <w:r w:rsidR="0067106F">
        <w:rPr>
          <w:b/>
          <w:sz w:val="28"/>
          <w:szCs w:val="28"/>
        </w:rPr>
        <w:t>6</w:t>
      </w:r>
      <w:r w:rsidRPr="00C67BF8">
        <w:rPr>
          <w:b/>
          <w:sz w:val="28"/>
          <w:szCs w:val="28"/>
        </w:rPr>
        <w:t>/201</w:t>
      </w:r>
      <w:r w:rsidR="0067106F">
        <w:rPr>
          <w:b/>
          <w:sz w:val="28"/>
          <w:szCs w:val="28"/>
        </w:rPr>
        <w:t>7</w:t>
      </w:r>
      <w:r w:rsidRPr="00C67BF8">
        <w:rPr>
          <w:b/>
          <w:sz w:val="28"/>
          <w:szCs w:val="28"/>
        </w:rPr>
        <w:t xml:space="preserve"> and 201</w:t>
      </w:r>
      <w:r w:rsidR="0067106F">
        <w:rPr>
          <w:b/>
          <w:sz w:val="28"/>
          <w:szCs w:val="28"/>
        </w:rPr>
        <w:t>7</w:t>
      </w:r>
      <w:r w:rsidRPr="00C67BF8">
        <w:rPr>
          <w:b/>
          <w:sz w:val="28"/>
          <w:szCs w:val="28"/>
        </w:rPr>
        <w:t>/201</w:t>
      </w:r>
      <w:r w:rsidR="0067106F">
        <w:rPr>
          <w:b/>
          <w:sz w:val="28"/>
          <w:szCs w:val="28"/>
        </w:rPr>
        <w:t>8</w:t>
      </w:r>
      <w:r w:rsidRPr="00C67BF8">
        <w:rPr>
          <w:b/>
          <w:sz w:val="28"/>
          <w:szCs w:val="28"/>
        </w:rPr>
        <w:t>.</w:t>
      </w:r>
    </w:p>
    <w:p w:rsidR="00540F09" w:rsidRPr="00A80E7B" w:rsidRDefault="00540F09" w:rsidP="00540F09">
      <w:pPr>
        <w:pStyle w:val="Default"/>
        <w:spacing w:after="240"/>
        <w:rPr>
          <w:rFonts w:asciiTheme="minorHAnsi" w:hAnsiTheme="minorHAnsi"/>
        </w:rPr>
      </w:pPr>
      <w:r w:rsidRPr="00A80E7B">
        <w:rPr>
          <w:rFonts w:asciiTheme="minorHAnsi" w:hAnsiTheme="minorHAnsi"/>
        </w:rPr>
        <w:t xml:space="preserve">PPG provides funding for two policies: </w:t>
      </w:r>
    </w:p>
    <w:p w:rsidR="00540F09" w:rsidRPr="00A80E7B" w:rsidRDefault="00540F09" w:rsidP="00540F09">
      <w:pPr>
        <w:pStyle w:val="Default"/>
        <w:ind w:left="1440" w:hanging="360"/>
        <w:rPr>
          <w:rFonts w:asciiTheme="minorHAnsi" w:hAnsiTheme="minorHAnsi"/>
        </w:rPr>
      </w:pPr>
      <w:r w:rsidRPr="00A80E7B">
        <w:rPr>
          <w:rFonts w:asciiTheme="minorHAnsi" w:hAnsiTheme="minorHAnsi"/>
        </w:rPr>
        <w:t xml:space="preserve">• Raising the attainment of disadvantaged pupils and closing the gap with their peers; and </w:t>
      </w:r>
    </w:p>
    <w:p w:rsidR="00540F09" w:rsidRDefault="00540F09" w:rsidP="00540F09">
      <w:pPr>
        <w:pStyle w:val="Default"/>
        <w:ind w:left="1440" w:hanging="360"/>
        <w:rPr>
          <w:rFonts w:asciiTheme="minorHAnsi" w:hAnsiTheme="minorHAnsi"/>
        </w:rPr>
      </w:pPr>
      <w:r w:rsidRPr="00A80E7B">
        <w:rPr>
          <w:rFonts w:asciiTheme="minorHAnsi" w:hAnsiTheme="minorHAnsi"/>
        </w:rPr>
        <w:t xml:space="preserve">• Supporting children and young people with parents in the regular armed forces </w:t>
      </w:r>
    </w:p>
    <w:p w:rsidR="00540F09" w:rsidRDefault="00540F09" w:rsidP="00540F09">
      <w:pPr>
        <w:pStyle w:val="Default"/>
        <w:ind w:left="1440" w:hanging="360"/>
        <w:rPr>
          <w:rFonts w:asciiTheme="minorHAnsi" w:hAnsiTheme="minorHAnsi"/>
        </w:rPr>
      </w:pPr>
    </w:p>
    <w:p w:rsidR="00540F09" w:rsidRDefault="007B6404" w:rsidP="007B640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The period of</w:t>
      </w:r>
      <w:r w:rsidR="00105F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reporting spa</w:t>
      </w:r>
      <w:r w:rsidR="00105FF9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s over two different grant allocations.  Please see information below. </w:t>
      </w:r>
    </w:p>
    <w:p w:rsidR="007B6404" w:rsidRPr="00A80E7B" w:rsidRDefault="007B6404" w:rsidP="007B6404">
      <w:pPr>
        <w:pStyle w:val="Default"/>
        <w:rPr>
          <w:rFonts w:asciiTheme="minorHAnsi" w:hAnsiTheme="minorHAnsi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807"/>
        <w:gridCol w:w="1433"/>
        <w:gridCol w:w="541"/>
        <w:gridCol w:w="4709"/>
      </w:tblGrid>
      <w:tr w:rsidR="005B054F" w:rsidTr="00A02D5F">
        <w:tc>
          <w:tcPr>
            <w:tcW w:w="10490" w:type="dxa"/>
            <w:gridSpan w:val="4"/>
            <w:shd w:val="clear" w:color="auto" w:fill="D9D9D9" w:themeFill="background1" w:themeFillShade="D9"/>
          </w:tcPr>
          <w:p w:rsidR="00E24F97" w:rsidRDefault="005B054F" w:rsidP="00E24F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Pupil Premium Grant (PPG) </w:t>
            </w:r>
            <w:r w:rsidR="00F165FC">
              <w:rPr>
                <w:sz w:val="32"/>
                <w:szCs w:val="32"/>
              </w:rPr>
              <w:t>Predicted Budget for the period</w:t>
            </w:r>
            <w:r>
              <w:rPr>
                <w:sz w:val="32"/>
                <w:szCs w:val="32"/>
              </w:rPr>
              <w:t xml:space="preserve"> </w:t>
            </w:r>
          </w:p>
          <w:p w:rsidR="005B054F" w:rsidRDefault="00E24F97" w:rsidP="006710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24F97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F165FC">
              <w:rPr>
                <w:sz w:val="32"/>
                <w:szCs w:val="32"/>
              </w:rPr>
              <w:t>September 201</w:t>
            </w:r>
            <w:r w:rsidR="0067106F">
              <w:rPr>
                <w:sz w:val="32"/>
                <w:szCs w:val="32"/>
              </w:rPr>
              <w:t>6</w:t>
            </w:r>
            <w:r w:rsidR="00F165F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- 31</w:t>
            </w:r>
            <w:r w:rsidRPr="00E24F97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August </w:t>
            </w:r>
            <w:r w:rsidR="009A3159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>1</w:t>
            </w:r>
            <w:r w:rsidR="0067106F">
              <w:rPr>
                <w:sz w:val="32"/>
                <w:szCs w:val="32"/>
              </w:rPr>
              <w:t>7</w:t>
            </w:r>
          </w:p>
        </w:tc>
      </w:tr>
      <w:tr w:rsidR="009D621D" w:rsidTr="00A02D5F">
        <w:trPr>
          <w:gridAfter w:val="1"/>
          <w:wAfter w:w="4709" w:type="dxa"/>
        </w:trPr>
        <w:tc>
          <w:tcPr>
            <w:tcW w:w="5240" w:type="dxa"/>
            <w:gridSpan w:val="2"/>
          </w:tcPr>
          <w:p w:rsidR="009D621D" w:rsidRDefault="009D621D" w:rsidP="009D62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Funding carried forward from previous period</w:t>
            </w:r>
          </w:p>
        </w:tc>
        <w:tc>
          <w:tcPr>
            <w:tcW w:w="541" w:type="dxa"/>
          </w:tcPr>
          <w:p w:rsidR="009D621D" w:rsidRDefault="009D621D" w:rsidP="00680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F165FC">
              <w:rPr>
                <w:sz w:val="32"/>
                <w:szCs w:val="32"/>
              </w:rPr>
              <w:t>0</w:t>
            </w:r>
          </w:p>
        </w:tc>
      </w:tr>
      <w:tr w:rsidR="005B054F" w:rsidTr="00A02D5F">
        <w:tc>
          <w:tcPr>
            <w:tcW w:w="5240" w:type="dxa"/>
            <w:gridSpan w:val="2"/>
          </w:tcPr>
          <w:p w:rsidR="005B054F" w:rsidRDefault="005B054F" w:rsidP="00653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</w:t>
            </w:r>
            <w:r w:rsidR="000E7316">
              <w:rPr>
                <w:sz w:val="32"/>
                <w:szCs w:val="32"/>
              </w:rPr>
              <w:t xml:space="preserve">amount of funding </w:t>
            </w:r>
            <w:r w:rsidR="00653D9C">
              <w:rPr>
                <w:sz w:val="32"/>
                <w:szCs w:val="32"/>
              </w:rPr>
              <w:t xml:space="preserve">due to </w:t>
            </w:r>
            <w:r w:rsidR="000E7316">
              <w:rPr>
                <w:sz w:val="32"/>
                <w:szCs w:val="32"/>
              </w:rPr>
              <w:t>receive in th</w:t>
            </w:r>
            <w:r w:rsidR="00105FF9">
              <w:rPr>
                <w:sz w:val="32"/>
                <w:szCs w:val="32"/>
              </w:rPr>
              <w:t>is</w:t>
            </w:r>
            <w:r w:rsidR="000E7316">
              <w:rPr>
                <w:sz w:val="32"/>
                <w:szCs w:val="32"/>
              </w:rPr>
              <w:t xml:space="preserve"> period </w:t>
            </w:r>
          </w:p>
        </w:tc>
        <w:tc>
          <w:tcPr>
            <w:tcW w:w="5250" w:type="dxa"/>
            <w:gridSpan w:val="2"/>
          </w:tcPr>
          <w:p w:rsidR="005B054F" w:rsidRDefault="00BF1518" w:rsidP="00680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£7920</w:t>
            </w:r>
          </w:p>
        </w:tc>
      </w:tr>
      <w:tr w:rsidR="006F53D3" w:rsidTr="00A02D5F">
        <w:tc>
          <w:tcPr>
            <w:tcW w:w="5240" w:type="dxa"/>
            <w:gridSpan w:val="2"/>
          </w:tcPr>
          <w:p w:rsidR="006F53D3" w:rsidRPr="000E7316" w:rsidRDefault="006F53D3" w:rsidP="009A315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amount of funding </w:t>
            </w:r>
            <w:r w:rsidR="00653D9C">
              <w:rPr>
                <w:b/>
                <w:sz w:val="32"/>
                <w:szCs w:val="32"/>
              </w:rPr>
              <w:t xml:space="preserve">due to be </w:t>
            </w:r>
            <w:r>
              <w:rPr>
                <w:b/>
                <w:sz w:val="32"/>
                <w:szCs w:val="32"/>
              </w:rPr>
              <w:t xml:space="preserve">received </w:t>
            </w:r>
          </w:p>
        </w:tc>
        <w:tc>
          <w:tcPr>
            <w:tcW w:w="5250" w:type="dxa"/>
            <w:gridSpan w:val="2"/>
          </w:tcPr>
          <w:p w:rsidR="006F53D3" w:rsidRPr="000E7316" w:rsidRDefault="00653D9C" w:rsidP="00BF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BF1518">
              <w:rPr>
                <w:sz w:val="32"/>
                <w:szCs w:val="32"/>
              </w:rPr>
              <w:t>7920</w:t>
            </w:r>
          </w:p>
        </w:tc>
      </w:tr>
      <w:tr w:rsidR="00CF3E50" w:rsidTr="00A02D5F">
        <w:tc>
          <w:tcPr>
            <w:tcW w:w="3807" w:type="dxa"/>
            <w:shd w:val="clear" w:color="auto" w:fill="D9D9D9" w:themeFill="background1" w:themeFillShade="D9"/>
          </w:tcPr>
          <w:p w:rsidR="00CF3E50" w:rsidRPr="00A02D5F" w:rsidRDefault="00CF3E50" w:rsidP="0067106F">
            <w:pPr>
              <w:jc w:val="center"/>
              <w:rPr>
                <w:sz w:val="28"/>
                <w:szCs w:val="28"/>
              </w:rPr>
            </w:pPr>
            <w:r w:rsidRPr="00A02D5F">
              <w:rPr>
                <w:sz w:val="28"/>
                <w:szCs w:val="28"/>
              </w:rPr>
              <w:t>Nature of Support 1</w:t>
            </w:r>
            <w:r w:rsidRPr="00A02D5F">
              <w:rPr>
                <w:sz w:val="28"/>
                <w:szCs w:val="28"/>
                <w:vertAlign w:val="superscript"/>
              </w:rPr>
              <w:t>st</w:t>
            </w:r>
            <w:r w:rsidRPr="00A02D5F">
              <w:rPr>
                <w:sz w:val="28"/>
                <w:szCs w:val="28"/>
              </w:rPr>
              <w:t xml:space="preserve"> December </w:t>
            </w:r>
            <w:r w:rsidR="009A3159" w:rsidRPr="00A02D5F">
              <w:rPr>
                <w:sz w:val="28"/>
                <w:szCs w:val="28"/>
              </w:rPr>
              <w:t>20</w:t>
            </w:r>
            <w:r w:rsidRPr="00A02D5F">
              <w:rPr>
                <w:sz w:val="28"/>
                <w:szCs w:val="28"/>
              </w:rPr>
              <w:t>1</w:t>
            </w:r>
            <w:r w:rsidR="0067106F" w:rsidRPr="00A02D5F">
              <w:rPr>
                <w:sz w:val="28"/>
                <w:szCs w:val="28"/>
              </w:rPr>
              <w:t>6</w:t>
            </w:r>
            <w:r w:rsidRPr="00A02D5F">
              <w:rPr>
                <w:sz w:val="28"/>
                <w:szCs w:val="28"/>
              </w:rPr>
              <w:t>- 31</w:t>
            </w:r>
            <w:r w:rsidRPr="00A02D5F">
              <w:rPr>
                <w:sz w:val="28"/>
                <w:szCs w:val="28"/>
                <w:vertAlign w:val="superscript"/>
              </w:rPr>
              <w:t>st</w:t>
            </w:r>
            <w:r w:rsidRPr="00A02D5F">
              <w:rPr>
                <w:sz w:val="28"/>
                <w:szCs w:val="28"/>
              </w:rPr>
              <w:t xml:space="preserve"> August </w:t>
            </w:r>
            <w:r w:rsidR="009A3159" w:rsidRPr="00A02D5F">
              <w:rPr>
                <w:sz w:val="28"/>
                <w:szCs w:val="28"/>
              </w:rPr>
              <w:t>20</w:t>
            </w:r>
            <w:r w:rsidRPr="00A02D5F">
              <w:rPr>
                <w:sz w:val="28"/>
                <w:szCs w:val="28"/>
              </w:rPr>
              <w:t>1</w:t>
            </w:r>
            <w:r w:rsidR="0067106F" w:rsidRPr="00A02D5F">
              <w:rPr>
                <w:sz w:val="28"/>
                <w:szCs w:val="28"/>
              </w:rPr>
              <w:t>7</w:t>
            </w:r>
            <w:r w:rsidRPr="00A02D5F">
              <w:rPr>
                <w:sz w:val="28"/>
                <w:szCs w:val="28"/>
              </w:rPr>
              <w:t xml:space="preserve"> and allocation of PPG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F3E50" w:rsidRPr="00A02D5F" w:rsidRDefault="00CF3E50" w:rsidP="00E24F97">
            <w:pPr>
              <w:jc w:val="center"/>
              <w:rPr>
                <w:sz w:val="28"/>
                <w:szCs w:val="28"/>
              </w:rPr>
            </w:pPr>
            <w:r w:rsidRPr="00A02D5F">
              <w:rPr>
                <w:sz w:val="28"/>
                <w:szCs w:val="28"/>
              </w:rPr>
              <w:t>Amount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</w:tcPr>
          <w:p w:rsidR="00CF3E50" w:rsidRPr="00A02D5F" w:rsidRDefault="00CF3E50">
            <w:pPr>
              <w:rPr>
                <w:sz w:val="28"/>
                <w:szCs w:val="28"/>
              </w:rPr>
            </w:pPr>
            <w:r w:rsidRPr="00A02D5F">
              <w:rPr>
                <w:sz w:val="28"/>
                <w:szCs w:val="28"/>
              </w:rPr>
              <w:t>How will the effects of this support be measured?</w:t>
            </w:r>
          </w:p>
        </w:tc>
      </w:tr>
      <w:tr w:rsidR="00566441" w:rsidTr="00A02D5F">
        <w:tc>
          <w:tcPr>
            <w:tcW w:w="3807" w:type="dxa"/>
          </w:tcPr>
          <w:p w:rsidR="00566441" w:rsidRDefault="007511DC" w:rsidP="00653D9C">
            <w:pPr>
              <w:rPr>
                <w:sz w:val="32"/>
                <w:szCs w:val="32"/>
              </w:rPr>
            </w:pPr>
            <w:r w:rsidRPr="007511DC">
              <w:rPr>
                <w:sz w:val="32"/>
                <w:szCs w:val="32"/>
              </w:rPr>
              <w:t xml:space="preserve">TAs interventions </w:t>
            </w:r>
            <w:r w:rsidR="00653D9C">
              <w:rPr>
                <w:sz w:val="32"/>
                <w:szCs w:val="32"/>
              </w:rPr>
              <w:t xml:space="preserve">including Breakfast Club </w:t>
            </w:r>
          </w:p>
        </w:tc>
        <w:tc>
          <w:tcPr>
            <w:tcW w:w="1433" w:type="dxa"/>
          </w:tcPr>
          <w:p w:rsidR="00566441" w:rsidRDefault="00684488" w:rsidP="00BF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BF1518">
              <w:rPr>
                <w:sz w:val="32"/>
                <w:szCs w:val="32"/>
              </w:rPr>
              <w:t>2654.40</w:t>
            </w:r>
          </w:p>
        </w:tc>
        <w:tc>
          <w:tcPr>
            <w:tcW w:w="5250" w:type="dxa"/>
            <w:gridSpan w:val="2"/>
          </w:tcPr>
          <w:p w:rsidR="00A02D5F" w:rsidRPr="00DA026F" w:rsidRDefault="00A02D5F" w:rsidP="00A02D5F">
            <w:pPr>
              <w:rPr>
                <w:b/>
              </w:rPr>
            </w:pPr>
            <w:r w:rsidRPr="00DA026F">
              <w:rPr>
                <w:b/>
              </w:rPr>
              <w:t>Breakfast Club:</w:t>
            </w:r>
          </w:p>
          <w:p w:rsidR="00A02D5F" w:rsidRPr="00DA026F" w:rsidRDefault="00A02D5F" w:rsidP="00A02D5F">
            <w:r>
              <w:t xml:space="preserve">We hope that children attending breakfast club will make more than expected progress because </w:t>
            </w:r>
            <w:r w:rsidRPr="00DA026F">
              <w:t>these children start the school day with a healthy breakfast in a calm, settled manner ready to start the day’s learning. During breakfast club, homework is supported as well as areas of learning that these children find difficult.</w:t>
            </w:r>
          </w:p>
          <w:p w:rsidR="00A02D5F" w:rsidRPr="00DA026F" w:rsidRDefault="00A02D5F" w:rsidP="00A02D5F"/>
          <w:p w:rsidR="00A02D5F" w:rsidRPr="00DA026F" w:rsidRDefault="00A02D5F" w:rsidP="00A02D5F">
            <w:pPr>
              <w:rPr>
                <w:b/>
              </w:rPr>
            </w:pPr>
            <w:r w:rsidRPr="00DA026F">
              <w:rPr>
                <w:b/>
              </w:rPr>
              <w:t>TA Intervention:</w:t>
            </w:r>
          </w:p>
          <w:p w:rsidR="00A02D5F" w:rsidRDefault="00A02D5F" w:rsidP="00A02D5F">
            <w:r>
              <w:t>It is hoped that the TA intervention will help to close any gaps in learning and support accelerated progress.</w:t>
            </w:r>
          </w:p>
          <w:p w:rsidR="0003236B" w:rsidRDefault="00A02D5F" w:rsidP="00A02D5F">
            <w:pPr>
              <w:rPr>
                <w:sz w:val="32"/>
                <w:szCs w:val="32"/>
              </w:rPr>
            </w:pPr>
            <w:r>
              <w:t>TAs are able to support the learning within class as well as taking individual and small groups for intervention. Pre-teaching</w:t>
            </w:r>
            <w:r>
              <w:t xml:space="preserve"> will also take place.</w:t>
            </w:r>
          </w:p>
          <w:p w:rsidR="007511DC" w:rsidRDefault="007511DC">
            <w:pPr>
              <w:rPr>
                <w:sz w:val="32"/>
                <w:szCs w:val="32"/>
              </w:rPr>
            </w:pPr>
          </w:p>
          <w:p w:rsidR="007511DC" w:rsidRDefault="007511DC">
            <w:pPr>
              <w:rPr>
                <w:sz w:val="32"/>
                <w:szCs w:val="32"/>
              </w:rPr>
            </w:pPr>
          </w:p>
        </w:tc>
      </w:tr>
      <w:tr w:rsidR="00566441" w:rsidTr="00A02D5F">
        <w:tc>
          <w:tcPr>
            <w:tcW w:w="3807" w:type="dxa"/>
          </w:tcPr>
          <w:p w:rsidR="00566441" w:rsidRDefault="007511DC">
            <w:pPr>
              <w:rPr>
                <w:sz w:val="32"/>
                <w:szCs w:val="32"/>
              </w:rPr>
            </w:pPr>
            <w:r w:rsidRPr="007511DC">
              <w:rPr>
                <w:sz w:val="32"/>
                <w:szCs w:val="32"/>
              </w:rPr>
              <w:t>PSA Contribution</w:t>
            </w:r>
          </w:p>
        </w:tc>
        <w:tc>
          <w:tcPr>
            <w:tcW w:w="1433" w:type="dxa"/>
          </w:tcPr>
          <w:p w:rsidR="00566441" w:rsidRDefault="00684488" w:rsidP="00653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653D9C">
              <w:rPr>
                <w:sz w:val="32"/>
                <w:szCs w:val="32"/>
              </w:rPr>
              <w:t>1000</w:t>
            </w:r>
          </w:p>
        </w:tc>
        <w:tc>
          <w:tcPr>
            <w:tcW w:w="5250" w:type="dxa"/>
            <w:gridSpan w:val="2"/>
          </w:tcPr>
          <w:p w:rsidR="00A02D5F" w:rsidRDefault="00A02D5F" w:rsidP="00A02D5F">
            <w:r>
              <w:t>A Parent Support Adviser is employed across the R</w:t>
            </w:r>
            <w:r>
              <w:t>oseland feeder schools. This will be</w:t>
            </w:r>
            <w:r>
              <w:t xml:space="preserve"> part funded by Pupil premium funding because </w:t>
            </w:r>
            <w:r>
              <w:t>some of the children being supported are</w:t>
            </w:r>
            <w:r>
              <w:t xml:space="preserve"> eligible for Pupil premium funding. </w:t>
            </w:r>
          </w:p>
          <w:p w:rsidR="00A02D5F" w:rsidRDefault="00A02D5F" w:rsidP="00A02D5F"/>
          <w:p w:rsidR="007511DC" w:rsidRDefault="00A02D5F" w:rsidP="00A02D5F">
            <w:pPr>
              <w:rPr>
                <w:sz w:val="32"/>
                <w:szCs w:val="32"/>
              </w:rPr>
            </w:pPr>
            <w:r>
              <w:t>It is hoped that her work will improve areas such as punctuality</w:t>
            </w:r>
            <w:proofErr w:type="gramStart"/>
            <w:r>
              <w:t xml:space="preserve">, </w:t>
            </w:r>
            <w:r>
              <w:t xml:space="preserve"> behaviour</w:t>
            </w:r>
            <w:proofErr w:type="gramEnd"/>
            <w:r>
              <w:t xml:space="preserve"> for learning and self-esteem</w:t>
            </w:r>
            <w:r>
              <w:t xml:space="preserve"> which will be reflected in accelerated progress.</w:t>
            </w:r>
          </w:p>
        </w:tc>
      </w:tr>
      <w:tr w:rsidR="00566441" w:rsidTr="00A02D5F">
        <w:tc>
          <w:tcPr>
            <w:tcW w:w="3807" w:type="dxa"/>
          </w:tcPr>
          <w:p w:rsidR="00566441" w:rsidRDefault="002C6F7A" w:rsidP="00653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Pupil Premium </w:t>
            </w:r>
            <w:r w:rsidR="00653D9C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xpenditure </w:t>
            </w:r>
          </w:p>
        </w:tc>
        <w:tc>
          <w:tcPr>
            <w:tcW w:w="1433" w:type="dxa"/>
          </w:tcPr>
          <w:p w:rsidR="00566441" w:rsidRDefault="00684488" w:rsidP="00653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D86A95">
              <w:rPr>
                <w:sz w:val="32"/>
                <w:szCs w:val="32"/>
              </w:rPr>
              <w:t>1</w:t>
            </w:r>
            <w:r w:rsidR="00653D9C">
              <w:rPr>
                <w:sz w:val="32"/>
                <w:szCs w:val="32"/>
              </w:rPr>
              <w:t>0</w:t>
            </w:r>
            <w:r w:rsidR="00D86A95">
              <w:rPr>
                <w:sz w:val="32"/>
                <w:szCs w:val="32"/>
              </w:rPr>
              <w:t>00</w:t>
            </w:r>
          </w:p>
        </w:tc>
        <w:tc>
          <w:tcPr>
            <w:tcW w:w="5250" w:type="dxa"/>
            <w:gridSpan w:val="2"/>
          </w:tcPr>
          <w:p w:rsidR="007511DC" w:rsidRDefault="00A02D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confirmed.</w:t>
            </w:r>
            <w:bookmarkStart w:id="0" w:name="_GoBack"/>
            <w:bookmarkEnd w:id="0"/>
          </w:p>
          <w:p w:rsidR="007511DC" w:rsidRDefault="007511DC">
            <w:pPr>
              <w:rPr>
                <w:sz w:val="32"/>
                <w:szCs w:val="32"/>
              </w:rPr>
            </w:pPr>
          </w:p>
        </w:tc>
      </w:tr>
      <w:tr w:rsidR="00566441" w:rsidTr="00A02D5F">
        <w:tc>
          <w:tcPr>
            <w:tcW w:w="3807" w:type="dxa"/>
            <w:shd w:val="clear" w:color="auto" w:fill="D9D9D9" w:themeFill="background1" w:themeFillShade="D9"/>
          </w:tcPr>
          <w:p w:rsidR="00566441" w:rsidRPr="00CF3E50" w:rsidRDefault="00CF3E50">
            <w:pPr>
              <w:rPr>
                <w:sz w:val="32"/>
                <w:szCs w:val="32"/>
              </w:rPr>
            </w:pPr>
            <w:r w:rsidRPr="00CF3E50">
              <w:rPr>
                <w:sz w:val="32"/>
                <w:szCs w:val="32"/>
              </w:rPr>
              <w:t xml:space="preserve">Total Expenditure 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66441" w:rsidRDefault="00CF3E50" w:rsidP="00E54C38">
            <w:pPr>
              <w:rPr>
                <w:sz w:val="32"/>
                <w:szCs w:val="32"/>
              </w:rPr>
            </w:pPr>
            <w:r w:rsidRPr="00CF3E50">
              <w:rPr>
                <w:sz w:val="32"/>
                <w:szCs w:val="32"/>
              </w:rPr>
              <w:t>£</w:t>
            </w:r>
            <w:r w:rsidR="00E54C38">
              <w:rPr>
                <w:sz w:val="32"/>
                <w:szCs w:val="32"/>
              </w:rPr>
              <w:t>7920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</w:tcPr>
          <w:p w:rsidR="00566441" w:rsidRDefault="00566441">
            <w:pPr>
              <w:rPr>
                <w:sz w:val="32"/>
                <w:szCs w:val="32"/>
              </w:rPr>
            </w:pPr>
          </w:p>
        </w:tc>
      </w:tr>
      <w:tr w:rsidR="00566441" w:rsidTr="00A02D5F">
        <w:tc>
          <w:tcPr>
            <w:tcW w:w="3807" w:type="dxa"/>
          </w:tcPr>
          <w:p w:rsidR="00566441" w:rsidRDefault="00566441"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566441" w:rsidRDefault="00566441">
            <w:pPr>
              <w:rPr>
                <w:sz w:val="32"/>
                <w:szCs w:val="32"/>
              </w:rPr>
            </w:pPr>
          </w:p>
        </w:tc>
        <w:tc>
          <w:tcPr>
            <w:tcW w:w="5250" w:type="dxa"/>
            <w:gridSpan w:val="2"/>
          </w:tcPr>
          <w:p w:rsidR="00566441" w:rsidRDefault="00566441">
            <w:pPr>
              <w:rPr>
                <w:sz w:val="32"/>
                <w:szCs w:val="32"/>
              </w:rPr>
            </w:pPr>
          </w:p>
        </w:tc>
      </w:tr>
      <w:tr w:rsidR="00F554CD" w:rsidTr="00A02D5F">
        <w:tc>
          <w:tcPr>
            <w:tcW w:w="3807" w:type="dxa"/>
            <w:shd w:val="clear" w:color="auto" w:fill="D9D9D9" w:themeFill="background1" w:themeFillShade="D9"/>
          </w:tcPr>
          <w:p w:rsidR="00F554CD" w:rsidRDefault="00CF3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Amount carried forward 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F554CD" w:rsidRDefault="00CF3E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£0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</w:tcPr>
          <w:p w:rsidR="00F554CD" w:rsidRDefault="00F554CD">
            <w:pPr>
              <w:rPr>
                <w:sz w:val="32"/>
                <w:szCs w:val="32"/>
              </w:rPr>
            </w:pPr>
          </w:p>
        </w:tc>
      </w:tr>
    </w:tbl>
    <w:p w:rsidR="005B054F" w:rsidRDefault="005B054F" w:rsidP="00CF3E50">
      <w:pPr>
        <w:rPr>
          <w:sz w:val="32"/>
          <w:szCs w:val="32"/>
        </w:rPr>
      </w:pPr>
    </w:p>
    <w:p w:rsidR="00FD14C2" w:rsidRPr="005B054F" w:rsidRDefault="00FD14C2" w:rsidP="00CF3E50">
      <w:pPr>
        <w:rPr>
          <w:sz w:val="32"/>
          <w:szCs w:val="32"/>
        </w:rPr>
      </w:pPr>
    </w:p>
    <w:sectPr w:rsidR="00FD14C2" w:rsidRPr="005B054F" w:rsidSect="005B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F"/>
    <w:rsid w:val="0003236B"/>
    <w:rsid w:val="000E7316"/>
    <w:rsid w:val="00105FF9"/>
    <w:rsid w:val="002C6F7A"/>
    <w:rsid w:val="002E2A92"/>
    <w:rsid w:val="003C0FF6"/>
    <w:rsid w:val="004517A3"/>
    <w:rsid w:val="004A7CEE"/>
    <w:rsid w:val="00531A88"/>
    <w:rsid w:val="00540F09"/>
    <w:rsid w:val="00566441"/>
    <w:rsid w:val="00574868"/>
    <w:rsid w:val="005B054F"/>
    <w:rsid w:val="005C2ADC"/>
    <w:rsid w:val="005C3BF1"/>
    <w:rsid w:val="005E1FBE"/>
    <w:rsid w:val="00653D9C"/>
    <w:rsid w:val="0067106F"/>
    <w:rsid w:val="006805A5"/>
    <w:rsid w:val="00684488"/>
    <w:rsid w:val="006A1189"/>
    <w:rsid w:val="006F53D3"/>
    <w:rsid w:val="007048E8"/>
    <w:rsid w:val="007511DC"/>
    <w:rsid w:val="00793F5C"/>
    <w:rsid w:val="007B6404"/>
    <w:rsid w:val="007C7672"/>
    <w:rsid w:val="007E6CBC"/>
    <w:rsid w:val="00814DEE"/>
    <w:rsid w:val="00877EFE"/>
    <w:rsid w:val="00913FF1"/>
    <w:rsid w:val="00965047"/>
    <w:rsid w:val="009A3159"/>
    <w:rsid w:val="009D621D"/>
    <w:rsid w:val="00A02D5F"/>
    <w:rsid w:val="00B2764C"/>
    <w:rsid w:val="00BA1829"/>
    <w:rsid w:val="00BF1518"/>
    <w:rsid w:val="00C11AC6"/>
    <w:rsid w:val="00C67BF8"/>
    <w:rsid w:val="00CF3E50"/>
    <w:rsid w:val="00D62917"/>
    <w:rsid w:val="00D72578"/>
    <w:rsid w:val="00D86A95"/>
    <w:rsid w:val="00E24F97"/>
    <w:rsid w:val="00E54C38"/>
    <w:rsid w:val="00EC664C"/>
    <w:rsid w:val="00EE785B"/>
    <w:rsid w:val="00F165FC"/>
    <w:rsid w:val="00F554CD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A5565-A1D8-4857-9CA9-6B73B51D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Bronescombe Primary School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Bishop</dc:creator>
  <cp:lastModifiedBy>Lisa</cp:lastModifiedBy>
  <cp:revision>2</cp:revision>
  <cp:lastPrinted>2014-11-04T14:05:00Z</cp:lastPrinted>
  <dcterms:created xsi:type="dcterms:W3CDTF">2016-11-10T16:36:00Z</dcterms:created>
  <dcterms:modified xsi:type="dcterms:W3CDTF">2016-11-10T16:36:00Z</dcterms:modified>
</cp:coreProperties>
</file>